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KrAbfWUTechAusbV — Prüfungsbereich „Betreiben von Maschinen und Anlagen der Kreislauf- und Abfallwirtschaft“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„Betreiben von Maschinen und Anlagen der Kreislauf- und Abfallwirtschaft“ hat der Prüfling nachzuweisen, dass er in der Lage ist,</w:t>
      </w:r>
    </w:p>
    <w:p>
      <w:pPr>
        <w:ind w:left="420"/>
      </w:pPr>
      <w:r>
        <w:t xml:space="preserve">1. Maschinen und Anlagen der Abfallbehandlung einzustellen, zu steuern, zu überwachen und zu justieren,</w:t>
      </w:r>
    </w:p>
    <w:p>
      <w:pPr>
        <w:ind w:left="420"/>
      </w:pPr>
      <w:r>
        <w:t xml:space="preserve">2. Prozesse der Abfallaufbereitung mit Hilfe von Mess-, Steuerungs- und Regelungstechnik zu überwachen sowie bei Bedarf Maßnahmen einzuleiten und zu dokumentieren sowie</w:t>
      </w:r>
    </w:p>
    <w:p>
      <w:pPr>
        <w:ind w:left="420"/>
      </w:pPr>
      <w:r>
        <w:t xml:space="preserve">3. Anlagen der Abfallwirtschaft durch Instandhaltungsmaßnahmen betriebsbereit zu halten.</w:t>
      </w:r>
    </w:p>
    <w:p>
      <w:r>
        <w:t xml:space="preserve">(2) Der Prüfling hat eine Arbeitsaufgabe durchzuführen. Während der Durchführung der Arbeitsaufgabe wird mit dem Prüfling ein situatives Fachgespräch über die Arbeitsaufgabe geführt, das aus mehreren Gesprächsteilen bestehen kann.</w:t>
      </w:r>
    </w:p>
    <w:p>
      <w:r>
        <w:t xml:space="preserve">(3) Die Prüfungszeit für die Durchführung der Arbeitsaufgabe beträgt insgesamt 180 Minuten. Das situative Fachgespräch dauert höchstens 15 Minuten.</w:t>
      </w:r>
    </w:p>
    <w:p>
      <w:r>
        <w:rPr>
          <w:color w:val="555555"/>
          <w:sz w:val="17"/>
        </w:rPr>
        <w:t xml:space="preserve">Zitiervorschlag: § 12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