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KrAbfWUTechAusbV — Prüfungsbereiche des Teiles 2</w:t>
      </w:r>
    </w:p>
    <w:p>
      <w:r>
        <w:rPr>
          <w:color w:val="555555"/>
          <w:sz w:val="18"/>
        </w:rPr>
        <w:t xml:space="preserve">Kreislauf- und Abfallwirtschaftsumwelttechnologen-Ausbildungsverordnung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„Annehmen von Abfällen und Zuführen zu Entsorgungswegen“,</w:t>
      </w:r>
    </w:p>
    <w:p>
      <w:pPr>
        <w:ind w:left="420"/>
      </w:pPr>
      <w:r>
        <w:t xml:space="preserve">2. „Betreiben von Maschinen und Anlagen der Kreislauf- und Abfallwirtschaft“,</w:t>
      </w:r>
    </w:p>
    <w:p>
      <w:pPr>
        <w:ind w:left="420"/>
      </w:pPr>
      <w:r>
        <w:t xml:space="preserve">3. „Sicherstellen von Prozessen der Kreislauf- und Abfallwirtschaft“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10 KrAbfWUTechAusbV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https://recht.nulegal.eu/gesetze/KrAbfWUTechAusbV/10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