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KrAbfWUTechAusbV — Staatliche Anerkennung des Ausbildungsberufes</w:t>
      </w:r>
    </w:p>
    <w:p>
      <w:r>
        <w:rPr>
          <w:color w:val="555555"/>
          <w:sz w:val="18"/>
        </w:rPr>
        <w:t xml:space="preserve">Kreislauf- und Abfallwirtschaftsumwelttechnologen-Ausbildungsverordnung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Der Ausbildungsberuf mit der Berufsbezeichnung des Umwelttechnologen für Kreislauf- und Abfallwirtschaft und der Umwelttechnologin für Kreislauf- und Abfallwirtschaft wird nach § 4 Absatz 1 des Berufsbildungsgesetzes staatlich anerkannt. Der Ausbildungsberuf ist, soweit die Berufsausbildung im Bereich des öffentlichen Dienstes stattfindet, Ausbildungsberuf des öffentlichen Dienstes. Im Übrigen ist er Ausbildungsberuf der gewerblichen Wirtschaft.</w:t>
      </w:r>
    </w:p>
    <w:p>
      <w:r>
        <w:rPr>
          <w:color w:val="555555"/>
          <w:sz w:val="17"/>
        </w:rPr>
        <w:t xml:space="preserve">Zitiervorschlag: § 1 KrAbfWUTechAusbV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https://recht.nulegal.eu/gesetze/KrAbfWUTechAusbV/1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