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KostVfg (Bayern) — Kostengesamtschuldner</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in Angelegenheiten, für die das Gerichtskostengesetz, das Gesetz über Gerichtskosten in Familiensachen oder das Gerichts- und Notarkostengesetz gilt, einem gesamtschuldnerisch haftenden Kostenschuldner die Kosten durch gerichtliche Entscheidung auferlegt oder von ihm durch eine vor Gericht abgegebene oder ihm mitgeteilte Erklärung übernommen sind, soll die Haftung des anderen gesamtschuldnerisch haftenden Kostenschuldners (Zweitschuldners) nur geltend gemacht werden, wenn eine Zwangsvollstreckung in das bewegliche Vermögen des erstgenannten Kostenschuldners (Erstschuldners) erfolglos geblieben ist oder aussichtslos erscheint (§ 31 Abs. 2 Satz 1, § 18 GKG, § 26 Abs. 2 Satz 1, § 17 FamGKG, § 33 Abs. 1 Satz 1, § 17 GNotKG). Dass die Zwangsvollstreckung aussichtslos sei, kann regelmäßig angenommen werden, wenn ein Erstschuldner mit bekanntem Wohnsitz oder Sitz oder Aufenthaltsort im Ausland der Zahlungsaufforderung nicht nachkommt und gegen ihn ggf. im Ausland vollstreckt werden müsste. Dies gilt insbesondere dann, wenn die Zwangsvollstreckung im Ausland erfahrungsgemäß lange Zeit in Anspruch nimmt oder mit unverhältnismäßig hohen Kosten verbunden wäre.</w:t>
      </w:r>
    </w:p>
    <w:p>
      <w:r>
        <w:t xml:space="preserve">(2) Soweit einem Kostenschuldner, der aufgrund von § 29 Nr. 1 GKG, § 24 Nr. 1 FamGKG oder § 27 Nr. 1 GNotKG haftet (Entscheidungsschuldner), Prozess- oder Verfahrenskostenhilfe bewilligt worden ist, darf die Haftung eines anderen Kostenschuldners nicht geltend gemacht werden; von diesem bereits erhobene Kosten sind zurückzuzahlen, soweit es sich nicht um eine Zahlung nach § 13 Abs. 1 und 3 des Justizvergütungs- und -entschädigungsgesetzes handelt und die Partei, der Prozess- oder Verfahrenskostenhilfe bewilligt worden ist, der besonderen Vergütung zugestimmt hat. Die Haftung eines anderen Kostenschuldners darf auch nicht geltend gemacht werden, soweit dem Entscheidungsschuldner ein Betrag für die Reise zum Ort einer Verhandlung, Vernehmung oder Untersuchung und für die Rückreise gewährt worden ist (§ 31 Abs. 3 GKG, § 26 Abs. 3 FamGKG, § 33 Abs. 2 GNotKG).</w:t>
      </w:r>
    </w:p>
    <w:p>
      <w:r>
        <w:t xml:space="preserve">(3) Absatz 2 ist entsprechend anzuwenden, soweit der Kostenschuldner aufgrund von § 29 Nr. 2 GKG, § 24 Nr. 2 FamGKG oder § 27 Nr. 2 GNotKG haftet (Übernahmeschuldner) und wenn</w:t>
      </w:r>
    </w:p>
    <w:p>
      <w:r>
        <w:t xml:space="preserve">1. der Kostenschuldner die Kosten in einem vor Gericht abgeschlossenen oder durch Schriftsatz gegenüber dem Gericht angenommenen Vergleich übernommen hat,</w:t>
      </w:r>
    </w:p>
    <w:p>
      <w:r>
        <w:t xml:space="preserve">2. der Vergleich einschließlich der Verteilung der Kosten von dem Gericht vorgeschlagen worden ist und</w:t>
      </w:r>
    </w:p>
    <w:p>
      <w:r>
        <w:t xml:space="preserve">3. das Gericht in seinem Vergleichsvorschlag ausdrücklich festgestellt hat, dass die Kostenregelung der sonst zu erwartenden Kostenentscheidung entspricht (§ 31 Abs. 4 GKG, § 26 Abs. 4 FamGKG, § 33 Abs. 3 GNotKG).</w:t>
      </w:r>
    </w:p>
    <w:p>
      <w:r>
        <w:t xml:space="preserve">(4) In allen sonstigen Fällen der gesamtschuldnerischen Haftung für die Kosten bestimmt der Kostenbeamte nach pflichtgemäßem Ermessen, ob der geschuldete Betrag von einem Kostenschuldner ganz oder von mehreren nach Kopfteilen angefordert werden soll. Dabei kann insbesondere berücksichtigt werden,</w:t>
      </w:r>
    </w:p>
    <w:p>
      <w:r>
        <w:t xml:space="preserve">1. welcher Kostenschuldner die Kosten im Verhältnis zu den übrigen endgültig zu tragen hat,</w:t>
      </w:r>
    </w:p>
    <w:p>
      <w:r>
        <w:t xml:space="preserve">2. welcher Verwaltungsaufwand durch die Inanspruchnahme nach Kopfteilen entsteht,</w:t>
      </w:r>
    </w:p>
    <w:p>
      <w:r>
        <w:t xml:space="preserve">3. ob bei einer Verteilung nach Kopfteilen Kleinbeträge oder unter der Vollstreckungsgrenze liegende Beträge anzusetzen wären,</w:t>
      </w:r>
    </w:p>
    <w:p>
      <w:r>
        <w:t xml:space="preserve">4. ob die Kostenschuldner in Haushaltsgemeinschaft leben,</w:t>
      </w:r>
    </w:p>
    <w:p>
      <w:r>
        <w:t xml:space="preserve">5. ob anzunehmen ist, dass einer der Gesamtschuldner nicht zur Zahlung oder nur zu Teilzahlungen in der Lage ist.</w:t>
      </w:r>
    </w:p>
    <w:p>
      <w:r>
        <w:t xml:space="preserve">[Amtl. Anm.:] Zusatzbestimmung für die Bundesjustizverwaltung in Teil 2</w:t>
      </w:r>
    </w:p>
    <w:p>
      <w:r>
        <w:rPr>
          <w:color w:val="555555"/>
          <w:sz w:val="17"/>
        </w:rPr>
        <w:t xml:space="preserve">Zitiervorschlag: § 8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