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KostVfg (Bayern) — Voraussetzungen des Kostenansatzes und Feststellung der Kostenschuldner im Allgemeinen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Wer Kostenschuldner ist und in welchem Umfang er haftet, stellt der Kostenbeamte fest. Dabei ist zu beachten, dass nach § 29 Nr. 3 GKG, § 24 Nr. 3 FamGKG, § 27 Nr. 3 GNotKG und § 18 Nr. 3 JVKostG auch Dritte, die kraft Gesetzes für die Kostenschuld eines anderen haften (im letztgenannten Fall nach den Vorschriften des bürgerlichen Rechts z.B. Erben, Ehegatten, Vermögensübernehmer), als Kostenschuldner auf Leistung oder Duldung der Zwangsvollstreckung in Anspruch genommen werden können.</w:t>
      </w:r>
    </w:p>
    <w:p>
      <w:r>
        <w:t xml:space="preserve">(2) Haften mehrere Kostenschuldner als Gesamtschuldner, bestimmt der Kostenbeamte unter Beachtung der Grundsätze in § 8, wer zunächst in Anspruch genommen werden soll.</w:t>
      </w:r>
    </w:p>
    <w:p>
      <w:r>
        <w:t xml:space="preserve">(3) Die Ermittlung und Feststellung von Personen, die nicht der Staatskasse für die Kostenschuld haften, sondern nur dem Kostenschuldner gegenüber zur Erstattung der Kosten verpflichtet sind, ist nicht Sache des Kostenbeamten.</w:t>
      </w:r>
    </w:p>
    <w:p>
      <w:r>
        <w:rPr>
          <w:color w:val="555555"/>
          <w:sz w:val="17"/>
        </w:rPr>
        <w:t xml:space="preserve">Zitiervorschlag: § 7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