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KostVfg (Bayern) — Zuständigkeit</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Kostenansatz richtet sich, soweit Kosten nach dem Gerichtskostengesetz erhoben werden, nach § 19 GKG, soweit Kosten nach dem Gesetz über Gerichtskosten in Familiensachen erhoben werden, nach § 18 FamGKG, und in den Angelegenheiten der freiwilligen Gerichtsbarkeit nach § 18 GNotKG. Kosten der Vollstreckung von freiheitsentziehenden Maßregeln der Besserung und Sicherung werden bei der nach § 19 Abs. 2 GKG zuständigen Behörde angesetzt, soweit nicht die Landesregierungen durch Rechtsverordnung andere Zuständigkeiten begründet haben (§ 138 Abs. 2 Satz 3 StVollzG).</w:t>
      </w:r>
    </w:p>
    <w:p>
      <w:r>
        <w:t xml:space="preserve">(2) Hat in Strafsachen der Bundesgerichtshof die Sache ganz oder teilweise zur anderweitigen Verhandlung und Entscheidung zurückverwiesen, übersendet die für den Kostenansatz zuständige Behörde eine beglaubigte Abschrift der rechtskräftigen Entscheidung zum Kostenansatz an den Bundesgerichtshof.</w:t>
      </w:r>
    </w:p>
    <w:p>
      <w:r>
        <w:t xml:space="preserve">(3) Zu den durch die Vorbereitung der öffentlichen Klage und das dem gerichtlichen Verfahren vorausgegangene Bußgeldverfahren entstandenen Kosten (Nrn. 9015, 9016 KV GKG) gehören auch</w:t>
      </w:r>
    </w:p>
    <w:p>
      <w:r>
        <w:t xml:space="preserve">1. die Auslagen, die der Polizei bei der Ausführung von Ersuchen des Gerichts oder der Staatsanwaltschaft, bei der Tätigkeit der Polizeibeamten als Ermittlungspersonen der Staatsanwaltschaft und in den Fällen entstehen, in denen die Polizei nach § 163 StPO aus eigenem Entschluss Straftaten erforscht,</w:t>
      </w:r>
    </w:p>
    <w:p>
      <w:r>
        <w:t xml:space="preserve">2. Auslagen, die den zuständigen Verwaltungsbehörden als Verfolgungsorganen in Straf- und Bußgeldsachen erwachsen sind.</w:t>
      </w:r>
    </w:p>
    <w:p>
      <w:r>
        <w:t xml:space="preserve">(4) Wenn das Gericht in einem Strafverfahren wegen einer Steuerstraftat auf eine Strafe oder Maßnahme oder in einem Bußgeldverfahren wegen einer Steuerordnungswidrigkeit auf eine Geldbuße oder Nebenfolge erkennt, gehören zu den Kosten des gerichtlichen Verfahrens die Auslagen, die einer Finanzbehörde bei der Untersuchung und bei der Teilnahme am gerichtlichen Verfahren entstanden sind. Diese Auslagen sind nicht nach § 464b StPO festzusetzen, sondern als Gerichtskosten zu berechnen und einzuziehen. Soweit die Auslagen bei einer Bundesfinanzbehörde entstanden sind, werden sie als durchlaufende Gelder behandelt und an sie abgeführt (vgl. § 24 Abs. 7, § 32), wenn sie den Betrag von 25 Euro übersteigen. An die Landesfinanzbehörden werden eingezogene Beträge nicht abgeführt.</w:t>
      </w:r>
    </w:p>
    <w:p>
      <w:r>
        <w:t xml:space="preserve">(5) Geht ein Mahnverfahren gegen mehrere Antragsgegner nach Widerspruch oder Einspruch in getrennte Streitverfahren bei verschiedenen Gerichten über, übersendet das Mahngericht den übernehmenden Gerichten jeweils einen vollständigen Verfahrensausdruck samt Kostenrechnung. Letztere muss Angaben darüber enthalten, ob die Kosten bereits angefordert (§§ 25 und 26) oder eingezahlt sind. Bei nicht maschineller Bearbeitung hat der Kostenbeamte des abgebenden Gerichts den Kostenbeamten der übernehmenden Gerichte das Original oder eine beglaubigte Abschrift der Kostenrechnung zu übersenden und sie über das sonst von ihm Veranlasste zu unterrichten. Zahlungsanzeigen und sonstige Zahlungsnachweise sind im Original oder in beglaubigter Ablichtung beizufügen.</w:t>
      </w:r>
    </w:p>
    <w:p>
      <w:r>
        <w:t xml:space="preserve">(6) Die Kosten für</w:t>
      </w:r>
    </w:p>
    <w:p>
      <w:r>
        <w:t xml:space="preserve">1. die Eröffnung einer Verfügung von Todes wegen,</w:t>
      </w:r>
    </w:p>
    <w:p>
      <w:r>
        <w:t xml:space="preserve">2. die Abnahme einer eidesstattlichen Versicherung zwecks Erwirkung eines Erbscheins und</w:t>
      </w:r>
    </w:p>
    <w:p>
      <w:r>
        <w:t xml:space="preserve">3. die Beurkundung der Ausschlagung der Erbschaft oder der Anfechtung der Ausschlagung der Erbschaft</w:t>
      </w:r>
    </w:p>
    <w:p>
      <w:r>
        <w:t xml:space="preserve">werden bei dem nach § 343 FamFG zuständigen Nachlassgericht angesetzt (§ 18 Abs. 1 Nr. 1, Abs. 2 GNotKG). Erfolgt die Eröffnung oder die Beurkundung bei einem anderen Gericht, ist das Nachlassgericht zu verständigen. Diese Bestimmungen gelten auch dann, wenn die beiden Gerichte in verschiedenen Ländern der Bundesrepublik liegen. Sie gelten nicht für Kosten einer Beurkundung nach § 31 IntErbRVG (§ 18 Abs. 2 Satz 2 GNotKG). Soweit das Landwirtschaftsgericht an die Stelle des Nachlassgerichts tritt, wird auch die Gebühr für die Abnahme einer eidesstattlichen Versicherung zwecks Erwirkung eines Erbscheins beim Landwirtschaftsgericht angesetzt.</w:t>
      </w:r>
    </w:p>
    <w:p>
      <w:r>
        <w:rPr>
          <w:color w:val="555555"/>
          <w:sz w:val="17"/>
        </w:rPr>
        <w:t xml:space="preserve">Zitiervorschlag: § 5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