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KostVfg (Bayern) — Beanstandungen</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Stellt der Prüfungsbeamte Unrichtigkeiten zum Nachteil der Staatskasse oder eines Kostenschuldners fest, ordnet er die Berichtigung des Kostenansatzes an. Die Anordnung unterbleibt, wenn es sich um Kleinbeträge handelt, von deren Einziehung oder Erstattung nach den darüber getroffenen Bestimmungen abgesehen werden darf.</w:t>
      </w:r>
    </w:p>
    <w:p>
      <w:r>
        <w:t xml:space="preserve">(2) An die Stelle der Berichtigung tritt ein Vermerk in der Niederschrift (§ 44), wenn eine gerichtliche Entscheidung ergangen ist oder der Kostenansatz auf einer Anordnung der Dienstaufsichtsbehörde beruht.</w:t>
      </w:r>
    </w:p>
    <w:p>
      <w:r>
        <w:t xml:space="preserve">(3) Die Beanstandungen (Absatz 1 Satz 1) sind für jede Sache in einem besonderen Dokument zu verzeichnen, das zu den Akten zu nehmen ist.</w:t>
      </w:r>
    </w:p>
    <w:p>
      <w:r>
        <w:t xml:space="preserve">(4) Der Prüfungsbeamte vermerkt die Beanstandungen nach Absatz 1 außerdem in einer Nachweisung. Der Kostenbeamte ergänzt die Nachweisung durch Angabe des Zuordnungsmerkmals der Kassenanordnung oder der sonst erforderlichen Vermerke über die Erledigung; sodann gibt er sie dem Prüfungsbeamten zurück. Der Prüfungsbeamte stellt bei der nächsten Gelegenheit stichprobenweise fest, ob die entsprechenden Buchungen tatsächlich vorgenommen sind. Die Nachweisungen verwahrt er jahrgangsweise.</w:t>
      </w:r>
    </w:p>
    <w:p>
      <w:r>
        <w:t xml:space="preserve">(5) Stellt der Prüfungsbeamte das Fehlen von Akten fest, hat er alsbald dem Behördenvorstand Anzeige zu erstatten.</w:t>
      </w:r>
    </w:p>
    <w:p>
      <w:r>
        <w:rPr>
          <w:color w:val="555555"/>
          <w:sz w:val="17"/>
        </w:rPr>
        <w:t xml:space="preserve">Zitiervorschlag: § 43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