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KostVfg (Bayern) — Begriff und Gegenstand</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Kostenansatz besteht in der Aufstellung der Kostenrechnung (§ 24). Er hat die Berechnung der Gerichtskosten und Justizverwaltungskosten sowie die Feststellung der Kostenschuldner zum Gegenstand. Zu den Kosten gehören alle für die Tätigkeit des Gerichts und der Justizverwaltung zu erhebenden Gebühren, Auslagen und Vorschüsse.</w:t>
      </w:r>
    </w:p>
    <w:p>
      <w:r>
        <w:t xml:space="preserve">(2) Ist die berechnete Kostenforderung noch nicht beglichen, veranlasst der Kostenbeamte deren Anforderung gemäß § 25 oder § 26.</w:t>
      </w:r>
    </w:p>
    <w:p>
      <w:r>
        <w:t xml:space="preserve">(3) Handelt es sich um Kosten, die durch den Antrag einer für die Vollstreckung von Justizkostenforderungen zuständigen Stelle (Vollstreckungsbehörde) auf Vollstreckung in das unbewegliche Vermögen entstanden sind, wird zwar eine Kostenrechnung aufgestellt; die entstandenen Kosten sind der Vollstreckungsbehörde jedoch lediglich zur etwaigen späteren Einziehung als Nebenkosten mitzuteilen.</w:t>
      </w:r>
    </w:p>
    <w:p>
      <w:r>
        <w:t xml:space="preserve">(4) Können die Gebühren für die Entscheidung über den Antrag auf Anordnung der Zwangsversteigerung oder über den Beitritt zum Verfahren (Nr. 2210 KV GKG) oder die Auslagen des Anordnungs- (Beitritts-)verfahrens nicht vom Antragsteller eingezogen werden, weil ihm Prozesskostenhilfe ohne Zahlungsbestimmung bewilligt ist oder ihm Gebühren- oder Auslagenfreiheit zusteht (z.B. bei der Zwangsversteigerung wegen rückständiger öffentlicher Abgaben), veranlasst der Kostenbeamte die Anforderung der Kosten gemäß § 25. Die Vollstreckungsbehörde meldet die Kosten – unbeschadet sonstiger Einziehungsmöglichkeiten – in dem Zwangsversteigerungsverfahren mit dem Range des Anspruchs des betreibenden Gläubigers auf Befriedigung aus dem Grundstück rechtzeitig an (§ 10 Abs. 2, §§ 12, 37 Nr. 4 ZVG). Dies gilt im Zwangsverwaltungsverfahren entsprechend. Absatz 3 bleibt unberührt.</w:t>
      </w:r>
    </w:p>
    <w:p>
      <w:r>
        <w:t xml:space="preserve">(5) Für die Behandlung von kleinen Kostenbeträgen gelten die hierfür erlassenen besonderen Bestimmungen.</w:t>
      </w:r>
    </w:p>
    <w:p>
      <w:r>
        <w:t xml:space="preserve">(6) Sind Kosten zugleich mit einem Geldbetrag im Sinne des § 1 Abs. 1 der Einforderungs- und Beitreibungsanordnung einzuziehen, richtet sich das Verfahren nach der Einforderungs- und Beitreibungsanordnung.</w:t>
      </w:r>
    </w:p>
    <w:p>
      <w:r>
        <w:rPr>
          <w:color w:val="555555"/>
          <w:sz w:val="17"/>
        </w:rPr>
        <w:t xml:space="preserve">Zitiervorschlag: § 4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