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KostVfg (Bayern) — Erinnerungen und Beschwerden der Staatskasse – zu § 66 GKG, § 57 FamGKG, § 81 GNotKG, § 22 JVKostG –</w:t>
      </w:r>
    </w:p>
    <w:p>
      <w:r>
        <w:rPr>
          <w:color w:val="555555"/>
          <w:sz w:val="18"/>
        </w:rPr>
        <w:t xml:space="preserve">Kostenverfügung (BAnz AT 29.09.2023 B2)</w:t>
      </w:r>
    </w:p>
    <w:p>
      <w:r>
        <w:rPr>
          <w:color w:val="555555"/>
          <w:sz w:val="18"/>
        </w:rPr>
        <w:t xml:space="preserve">Landesrecht Bayern</w:t>
      </w:r>
    </w:p>
    <w:p>
      <w:r>
        <w:rPr>
          <w:color w:val="555555"/>
          <w:sz w:val="18"/>
        </w:rPr>
        <w:t xml:space="preserve">Stand: 25.08.2026 (konsolidierte Textfassung, kein amtliches Inkrafttretensdatum)</w:t>
      </w:r>
    </w:p>
    <w:p>
      <w:r>
        <w:t xml:space="preserve">(1) Der Vertreter der Staatskasse soll Erinnerungen gegen den Kostenansatz nur dann einlegen, wenn es wegen der grundsätzlichen Bedeutung der Sache angezeigt erscheint, von einer Berichtigung im Verwaltungsweg (§ 36) abzusehen und eine gerichtliche Entscheidung herbeizuführen.</w:t>
      </w:r>
    </w:p>
    <w:p>
      <w:r>
        <w:t xml:space="preserve">(2) Alle beschwerdefähigen gerichtlichen Entscheidungen einschließlich der Wertfestsetzungen, durch die der Kostenansatz zuungunsten der Staatskasse geändert wird, hat der Kostenbeamte des entscheidenden Gerichts dem zur Vertretung der Staatskasse zuständigen Beamten mitzuteilen. Legt der Kostenbeamte eine Erinnerung des Kostenschuldners dem zur Vertretung der Staatskasse zuständigen Beamten vor (§ 28 Abs. 2), prüft dieser, ob der Kostenansatz im Verwaltungsweg zu ändern ist oder ob Anlass besteht, für die Staatskasse ebenfalls Erinnerung einzulegen. Soweit der Erinnerung nicht abgeholfen wird, veranlasst er, dass die Akten unverzüglich dem Gericht vorgelegt werden.</w:t>
      </w:r>
    </w:p>
    <w:p>
      <w:r>
        <w:rPr>
          <w:color w:val="555555"/>
          <w:sz w:val="17"/>
        </w:rPr>
        <w:t xml:space="preserve">Zitiervorschlag: § 38 KostVfg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https://recht.nulegal.eu/gesetze/KostVfg/38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