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KostVfg (Bayern) — Nachträgliche Änderung der Kostenhaftung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zu dem bisher in Anspruch genommenen Kostenschuldner ein neuer hinzu, der vor jenem in Anspruch zu nehmen ist (vgl. § 8), stellt der Kostenbeamte zunächst fest, ob die eingeforderten Kosten bereits entrichtet sind. Nur wenn die Kosten nicht oder nicht ganz bezahlt sind und auch nicht anzunehmen ist, dass der nunmehr in Anspruch zu nehmende Kostenschuldner zahlungsunfähig sein werde, stellt er eine neue Kostenrechnung auf. Er veranlasst sodann die Löschung der den bisherigen Kostenschuldner betreffenden Sollstellung und die Sollstellung (§ 25) gegenüber dem neuen Kostenschuldner.</w:t>
      </w:r>
    </w:p>
    <w:p>
      <w:r>
        <w:t xml:space="preserve">(2) Erlischt nachträglich die Haftung eines Gesamtschuldners ganz oder teilweise, berichtigt der Kostenbeamte die Kostenrechnung. Er veranlasst die Löschung der gegen den bisherigen Kostenschuldner geltend gemachten Forderung und die Rückzahlung bereits bezahlter Beträge, soweit nunmehr keinerlei Haftungsgrund vorliegt. Soweit ein anderer Kostenschuldner in Anspruch zu nehmen ist, veranlasst er die Kostenanforderung nach § 25.</w:t>
      </w:r>
    </w:p>
    <w:p>
      <w:r>
        <w:rPr>
          <w:color w:val="555555"/>
          <w:sz w:val="17"/>
        </w:rPr>
        <w:t xml:space="preserve">Zitiervorschlag: § 30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