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KostVfg (Bayern) — Berichtigung des Kostenansatzes</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Kostenbeamte hat bei jeder Änderung der Kostenforderung den Kostenansatz zu berichtigen und, wenn hierdurch auch die Kosten eines anderen Rechtszuges berührt werden, den Kostenbeamten dieses Rechtszuges zu benachrichtigen, soweit er nicht selbst für den Kostenansatz des anderen Rechtszuges zuständig ist (z.B. § 5 Abs. 2).</w:t>
      </w:r>
    </w:p>
    <w:p>
      <w:r>
        <w:t xml:space="preserve">(2) Solange eine gerichtliche Entscheidung oder eine Anordnung im Dienstaufsichtsweg nicht ergangen ist, hat er auf Erinnerung oder auch von Amts wegen unrichtige Kostenansätze richtigzustellen. Will er einer Erinnerung des Kostenschuldners nicht oder nicht in vollem Umfang abhelfen oder richtet sich die Erinnerung gegen Kosten, die aufgrund einer Beanstandung des Prüfungsbeamten angesetzt sind, hat er sie mit den Akten dem Prüfungsbeamten vorzulegen.</w:t>
      </w:r>
    </w:p>
    <w:p>
      <w:r>
        <w:rPr>
          <w:color w:val="555555"/>
          <w:sz w:val="17"/>
        </w:rPr>
        <w:t xml:space="preserve">Zitiervorschlag: § 28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