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KostVfg (Bayern) — Behandlung von Ersuchen und Mitteilungen der Vollstreckungsbehörde</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(1) Ersucht die Vollstreckungsbehörde um Auskunft darüber, ob sich aus den Sachakten Näheres über die Einkommens- und Vermögensverhältnisse eines Kostenschuldners ergibt, insbesondere über das Vorhandensein pfändbarer Ansprüche, hat der Kostenbeamte die notwendigen Feststellungen zu treffen. Befinden sich die Akten beim Rechtsmittelgericht, trifft diese Verpflichtung den Kostenbeamten dieses Gerichts.</w:t>
      </w:r>
    </w:p>
    <w:p>
      <w:r>
        <w:t xml:space="preserve">(2) Ersucht die Vollstreckungsbehörde um eine Änderung oder Ergänzung der Kostenrechnung, weil sie eine andere Heranziehung von Gesamtschuldnern oder eine Erstreckung der Rechnung auf bisher nicht in Anspruch genommene Kostenschuldner für geboten hält, hat der Kostenbeamte aufgrund der Ermittlungen der Vollstreckungsbehörde die Voraussetzungen für die Heranziehung dieser Kostenschuldner festzustellen (vgl. § 7 Abs. 1) und gegebenenfalls eine neue oder ergänzte Kostenrechnung aufzustellen. Die Gründe für die Inanspruchnahme des weiteren Kostenschuldners sind in der Kostenrechnung anzugeben. Soweit hierbei Kosten eines bereits erledigten Rechtsmittelverfahrens zu berücksichtigen sind, sind die dem Kostenbeamten obliegenden Dienstverrichtungen von dem Kostenbeamten des Rechtsmittelgerichts zu erledigen; eine Zweitschuldneranfrage kann vom Kostenbeamten des Gerichts des ersten Rechtszuges beantwortet werden, falls eine Zweitschuldnerhaftung nicht besteht.</w:t>
      </w:r>
    </w:p>
    <w:p>
      <w:r>
        <w:t xml:space="preserve">(3) Die Bestimmungen des Absatzes 2 gelten entsprechend, wenn ein Kostenschuldner vorhanden ist, der wegen der Kostenschuld lediglich die Zwangsvollstreckung in ein bestimmtes Vermögen (z.B. der Grundstückseigentümer bei dinglich gesicherten Forderungen, für die er nicht persönlich haftet) zu dulden hat.</w:t>
      </w:r>
    </w:p>
    <w:p>
      <w:r>
        <w:t xml:space="preserve">(4) Wird dem Kostenbeamten eine Mitteilung über die Niederschlagung oder den (Teil-)Erlass der Kostenforderung vorgelegt, hat er zu prüfen, ob weitere Einziehungsmöglichkeiten bestehen und teilt diese der Vollstreckungsbehörde mit.</w:t>
      </w:r>
    </w:p>
    <w:p>
      <w:r>
        <w:t xml:space="preserve">(5) Eine Zahlungsanzeige, die sich auf einen zum Soll gestellten Betrag bezieht und nicht bei den Sachakten zu verbleiben hat, ist von dem Kostenbeamten unter Angabe des Grundes der Rückgabe zurückzusenden. Die Rücksendung einer Zahlungsanzeige hat er auf der vorderen Innenseite des Aktenumschlags oder einem Kostenvorblatt zu vermerken. Der Vermerk muss den Einzahler, den Betrag der Einzahlung, die Buchungsnummer und den Grund der Rückgabe enthalten. Abweichend von Satz 2 und 3 kann auch eine Kopie der Zahlungsanzeige zu den Sachakten genommen werden, auf der der Grund der Rückgabe vermerkt ist. § 3 Abs. 3a gilt entsprechend.</w:t>
      </w:r>
    </w:p>
    <w:p>
      <w:r>
        <w:t xml:space="preserve">(6) Die Rücksendung einer Zweitschuldneranfrage und das mitgeteilte Ergebnis hat der Kostenbeamte auf der Kostenrechnung zu vermerken. Abweichend hiervon kann auch eine Kopie der Zweitschuldneranfrage zu den Sachakten genommen werden, auf der das mitgeteilte Ergebnis vermerkt ist. § 3 Abs. 3a gilt entsprechend.</w:t>
      </w:r>
    </w:p>
    <w:p>
      <w:r>
        <w:t xml:space="preserve">[Amtl. Anm.:] Zusatzbestimmung für die Bundesjustizverwaltung in Teil 2</w:t>
      </w:r>
    </w:p>
    <w:p>
      <w:r>
        <w:rPr>
          <w:color w:val="555555"/>
          <w:sz w:val="17"/>
        </w:rPr>
        <w:t xml:space="preserve">Zitiervorschlag: § 27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