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KostVfg (Bayern) — Anforderung der Kosten ohne Sollstellung – zu §§ 379a, 390 Abs. 4 StPO, §§ 12, 12a, 13, 17 Abs. 1 Satz 2, Abs. 2 GKG, §§ 14, 16 Abs. 1 Satz 2, Abs. 2 FamGKG, §§ 13, 14 Abs. 1 Satz 2, Abs. 2 GNotKG, § 8 Abs. 2 JVKostG –</w:t>
      </w:r>
    </w:p>
    <w:p>
      <w:r>
        <w:rPr>
          <w:color w:val="555555"/>
          <w:sz w:val="18"/>
        </w:rPr>
        <w:t xml:space="preserve">Kostenverfügung (BAnz AT 29.09.2023 B2)</w:t>
      </w:r>
    </w:p>
    <w:p>
      <w:r>
        <w:rPr>
          <w:color w:val="555555"/>
          <w:sz w:val="18"/>
        </w:rPr>
        <w:t xml:space="preserve">Landesrecht Bayern</w:t>
      </w:r>
    </w:p>
    <w:p>
      <w:r>
        <w:rPr>
          <w:color w:val="555555"/>
          <w:sz w:val="18"/>
        </w:rPr>
        <w:t xml:space="preserve">Stand: 25.08.2026 (konsolidierte Textfassung, kein amtliches Inkrafttretensdatum)</w:t>
      </w:r>
    </w:p>
    <w:p>
      <w:r>
        <w:t xml:space="preserve">(1) Vorweg zu erhebende Gebühren und Kostenvorschüsse, von deren Entrichtung die Vornahme einer Amtshandlung oder die Einleitung oder der Fortgang eines Verfahrens abhängig ist, sind ohne Sollstellung unmittelbar vom Zahlungspflichtigen anzufordern; das Gleiche gilt im Falle der Ausübung des Zurückbehaltungsrechts (§ 23). § 24 Abs. 1 ist zu beachten. Die Kostenanforderung ist mit einer Rechtsbehelfsbelehrung zu versehen. Wegen der Einzelheiten der Kostenanforderung ohne Sollstellung wird auf die näheren Bestimmungen des Bundesministeriums der Justiz oder der jeweiligen Landesjustizverwaltung verwiesen.</w:t>
      </w:r>
    </w:p>
    <w:p>
      <w:r>
        <w:t xml:space="preserve">(2) Steht der Wert des Streitgegenstandes oder der Geschäftswert noch nicht endgültig fest, sind der Berechnung vorläufig die Angaben des Klägers oder Antragstellers zugrunde zu legen, sofern sie nicht offenbar unrichtig sind.</w:t>
      </w:r>
    </w:p>
    <w:p>
      <w:r>
        <w:t xml:space="preserve">(3) Hat das Gericht den Betrag des Vorschusses und die Zahlungsfrist selbst bestimmt (z.B. in den Fällen der §§ 379, 402 ZPO), kann eine Kostenrechnung (§ 24 Abs. 1) unterbleiben, wenn das gerichtliche Dokument alle für die Bewirkung der Zahlung erforderlichen Angaben enthält.</w:t>
      </w:r>
    </w:p>
    <w:p>
      <w:r>
        <w:t xml:space="preserve">(4) Hat der Zahlungspflichtige auf die Gebühren oder Vorschüsse (Absatz 1) Beträge bezahlt, die zur Deckung nicht völlig ausreichen, ist er auf den Minderbetrag hinzuweisen; hat er noch keine Kostenanforderung erhalten, ist der Minderbetrag ohne Sollstellung entsprechend Absatz 1 anzufordern. Ist der Minderbetrag nur gering, führt der Kostenbeamte zunächst eine Entscheidung des Richters (Rechtspflegers) darüber herbei, ob der Sache gleichwohl Fortgang zu geben sei. Wird der Sache Fortgang gegeben, wird der fehlende Betrag gemäß § 25 mit Sollstellung angefordert, falls er nicht nach den bestehenden Bestimmungen wegen Geringfügigkeit außer Ansatz bleibt; besteht der Richter (Rechtspfleger) dagegen auf der Zahlung des Restbetrages, ist nach Satz 1 zu verfahren.</w:t>
      </w:r>
    </w:p>
    <w:p>
      <w:r>
        <w:t xml:space="preserve">(5) Wird in den Fällen der §§ 379a, 390 Abs. 4 StPO der angeforderte Betrag nicht voll gezahlt, sind die Akten alsbald dem Gericht (Vorsitzenden) zur Entscheidung vorzulegen.</w:t>
      </w:r>
    </w:p>
    <w:p>
      <w:r>
        <w:t xml:space="preserve">(6) Sofern der Zahlungspflichtige von einem Bevollmächtigten, insbesondere dem Prozess- oder Verfahrensbevollmächtigten oder Notar, vertreten wird, soll die Kostenanforderung grundsätzlich diesem zur Vermittlung der Zahlung zugesandt werden.</w:t>
      </w:r>
    </w:p>
    <w:p>
      <w:r>
        <w:t xml:space="preserve">(7) Ist die Zahlung des Vorschusses an eine Frist geknüpft (z.B. in den Fällen der §§ 379a, 390 Abs. 4 StPO, § 18 GBO), ist die Kostenanforderung von Amts wegen zuzustellen. In sonstigen Fällen wird sie regelmäßig formlos übersandt.</w:t>
      </w:r>
    </w:p>
    <w:p>
      <w:r>
        <w:t xml:space="preserve">(8) Wird der Kostenanforderung keine Folge geleistet, hat der Kostenbeamte die in der Sache etwa entstandenen oder noch entstehenden Kosten zu berechnen und zum Soll zu stellen (§ 25). Das Gleiche gilt, wenn die Anordnung, durch welche die Vornahme eines Geschäfts von der Vorauszahlung abhängig gemacht war, wieder aufgehoben oder wenn von der gesetzlich vorgesehenen Vorwegleistungspflicht eine Ausnahme bewilligt wird (z.B. nach § 14 GKG, § 15 FamGKG, § 16 GNotKG). Kommt der zur Vorwegleistung Verpflichtete in den Fällen des § 12 Abs. 1, 3 Satz 3 und 4 GKG, des § 12a GKG sowie des § 14 Abs. 1, 3 FamGKG der Zahlungsaufforderung nicht nach, werden die in § 12 Abs. 1, 3 Satz 3 und 4 GKG und § 14 Abs. 1, 3 FamGKG genannten Gebühren nur insoweit angesetzt, als sich der Zahlungspflichtige nicht durch Rücknahme der Klage oder des Antrags von der Verpflichtung zur Zahlung befreien kann.</w:t>
      </w:r>
    </w:p>
    <w:p>
      <w:r>
        <w:t xml:space="preserve">(9) Von der Übersendung einer Schlusskostenrechnung kann abgesehen werden, wenn sich die endgültig festgestellte Kostenschuld mit dem vorausgezahlten Betrag deckt. Ansonsten ist die Schlusskostenrechnung unverzüglich zu übersenden.</w:t>
      </w:r>
    </w:p>
    <w:p>
      <w:r>
        <w:t xml:space="preserve">[Amtl. Anm.:] Zusatzbestimmung für die Bundesjustizverwaltung in Teil 2</w:t>
      </w:r>
    </w:p>
    <w:p>
      <w:r>
        <w:rPr>
          <w:color w:val="555555"/>
          <w:sz w:val="17"/>
        </w:rPr>
        <w:t xml:space="preserve">Zitiervorschlag: § 26 KostVfg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https://recht.nulegal.eu/gesetze/KostVfg/26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