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KostVfg (Bayern) — Anforderung der Kosten mit Sollstellung</w:t>
      </w:r>
    </w:p>
    <w:p>
      <w:r>
        <w:rPr>
          <w:color w:val="555555"/>
          <w:sz w:val="18"/>
        </w:rPr>
        <w:t xml:space="preserve">Kostenverfügung (BAnz AT 29.09.2023 B2)</w:t>
      </w:r>
    </w:p>
    <w:p>
      <w:r>
        <w:rPr>
          <w:color w:val="555555"/>
          <w:sz w:val="18"/>
        </w:rPr>
        <w:t xml:space="preserve">Landesrecht Bayern</w:t>
      </w:r>
    </w:p>
    <w:p>
      <w:r>
        <w:rPr>
          <w:color w:val="555555"/>
          <w:sz w:val="18"/>
        </w:rPr>
        <w:t xml:space="preserve">Stand: 25.08.2026 (konsolidierte Textfassung, kein amtliches Inkrafttretensdatum)</w:t>
      </w:r>
    </w:p>
    <w:p>
      <w:r>
        <w:t xml:space="preserve">(1) Mit der Sollstellung wird die Buchung des zu erhebenden Betrags im Sachbuch der Kasse, die dortige Überwachung des Zahlungseingangs und im Fall der Nichtzahlung die selbständige Einziehung durch die Vollstreckungsbehörde bewirkt.</w:t>
      </w:r>
    </w:p>
    <w:p>
      <w:r>
        <w:t xml:space="preserve">(2) Der Kostenbeamte veranlasst die Sollstellung der Kosten nach den näheren Bestimmungen des Bundesministeriums der Justiz oder der jeweiligen Landesjustizverwaltung und sorgt dafür, dass jeder Kostenschuldner, der in Anspruch genommen werden soll, einen Auszug der ihn betreffenden Inhalte der Kostenrechnung mit einer Zahlungsaufforderung und einer Rechtsbehelfsbelehrung (Kostenanforderung) erhält. In der Zahlungsaufforderung sind der Zahlungsempfänger mit Anschrift und Bankverbindung sowie das Zuordnungsmerkmal der Sollstellung (z.B. Kassenzeichen) anzugeben. Kostenanforderungen, die automationsgestützt erstellt werden, bedürfen weder einer Unterschrift noch eines Abdrucks des Dienstsiegels; auf der Kostenanforderung ist zu dokumentieren, dass das Dokument mit einer Datenverarbeitungsanlage erstellt wurde und daher nicht unterzeichnet wird. Manuell erstellte Kostenanforderungen sind stattdessen mit Unterschrift oder mit dem Abdruck des Dienstsiegels zu versehen.</w:t>
      </w:r>
    </w:p>
    <w:p>
      <w:r>
        <w:t xml:space="preserve">(3) Sofern der Kostenschuldner im automatisierten Mahnverfahren von einem Bevollmächtigten vertreten wird, kann die Kostenanforderung diesem zugesandt werden.</w:t>
      </w:r>
    </w:p>
    <w:p>
      <w:r>
        <w:t xml:space="preserve">[Amtl. Anm.:] Zusatzbestimmung für die Bundesjustizverwaltung in Teil 2</w:t>
      </w:r>
    </w:p>
    <w:p>
      <w:r>
        <w:rPr>
          <w:color w:val="555555"/>
          <w:sz w:val="17"/>
        </w:rPr>
        <w:t xml:space="preserve">Zitiervorschlag: § 25 KostVfg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https://recht.nulegal.eu/gesetze/KostVfg/25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