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KostVfg (Bayern) — Kostensicherung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Sicherung des Kosteneingangs sehen die Kostengesetze vor</w:t>
      </w:r>
    </w:p>
    <w:p>
      <w:r>
        <w:t xml:space="preserve">1. die Erhebung von Kostenvorschüssen, von denen die Vornahme einer Amtshandlung nicht abhängt (z.B. §§ 15, 17 Abs. 3 GKG, § 16 Abs. 3 FamGKG, § 14 Abs. 3 GNotKG);</w:t>
      </w:r>
    </w:p>
    <w:p>
      <w:r>
        <w:t xml:space="preserve">2. die Zurückstellung von Amtshandlungen bis zur Entrichtung bestimmter Gebühren oder Kostenvorschüsse (z.B. § 12 Abs. 1 und 3 bis 7, §§ 12a, 13, 17 Abs. 1 und 2 GKG, § 14 Abs. 1 und 3, § 16 Abs. 1 und 2 FamGKG, §§ 13, 14 Abs. 1 und 2 GNotKG, § 8 Abs. 2 JVKostG);</w:t>
      </w:r>
    </w:p>
    <w:p>
      <w:r>
        <w:t xml:space="preserve">3. die Ausübung des Zurückbehaltungsrechts (§ 23).</w:t>
      </w:r>
    </w:p>
    <w:p>
      <w:r>
        <w:t xml:space="preserve">(2) Die Erhebung eines Kostenvorschusses, von dessen Zahlung die Amtshandlung nicht abhängt (Absatz 1 Nr. 1), ordnet der Kostenbeamte selbständig an. Das Gleiche gilt in den Fällen der §§ 12, 12a, 13 GKG und § 14 FamGKG, jedoch ist der Eingang zunächst dem Richter (Rechtspfleger) vorzulegen, wenn sich daraus ergibt, dass die Erledigung der Sache ohne Vorauszahlung angestrebt wird.</w:t>
      </w:r>
    </w:p>
    <w:p>
      <w:r>
        <w:t xml:space="preserve">(3) Soweit eine gesetzliche Vorschrift die Abhängigmachung der Vornahme des Geschäfts von der Vorauszahlung der Kosten gestattet (z.B. §§ 379a, 390 Abs. 4 StPO, § 17 Abs. 1 Satz 2, Abs. 2 GKG, § 16 Abs. 1 Satz 2, Abs. 2 FamGKG, §§ 13, 14 Abs. 1 Satz 2, Abs. 2 GNotKG), hat der Kostenbeamte vor der Einforderung des Vorschusses die Entscheidung des Richters (Rechtspflegers) einzuholen; dies gilt nicht in den Fällen der §§ 12, 12a, 13 GKG und § 14 FamGKG (vgl. Absatz 2 Satz 2).</w:t>
      </w:r>
    </w:p>
    <w:p>
      <w:r>
        <w:t xml:space="preserve">(4) In Justizverwaltungsangelegenheiten bestimmt der nach § 46 zuständige Beamte die Höhe des Vorschusses.</w:t>
      </w:r>
    </w:p>
    <w:p>
      <w:r>
        <w:t xml:space="preserve">(5) Ist die Vornahme einer Amtshandlung nicht von der Zahlung eines Auslagenvorschusses abhängig, soll dieser regelmäßig nur eingefordert werden, wenn die Auslagen mehr als 25 Euro betragen oder ein Verlust für die Staatskasse zu befürchten ist.</w:t>
      </w:r>
    </w:p>
    <w:p>
      <w:r>
        <w:t xml:space="preserve">(6) In den Fällen des Absatzes 1 Nr. 1 und 3 sowie des § 17 Abs. 2 GKG, des § 16 Abs. 2 FamGKG und des § 14 Abs. 2 GNotKG sowie in gleichartigen Fällen ist ein Vorschuss nicht zu erheben, wenn eine Gemeinde, ein Gemeindeverband oder eine sonstige Körperschaft des öffentlichen Rechts Kostenschuldner ist.</w:t>
      </w:r>
    </w:p>
    <w:p>
      <w:r>
        <w:rPr>
          <w:color w:val="555555"/>
          <w:sz w:val="17"/>
        </w:rPr>
        <w:t xml:space="preserve">Zitiervorschlag: § 20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