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KostVfg (Bayern) — Heranziehung steuerlicher Werte – zu § 40 Abs. 6, § 46 Abs. 3 Satz 1 Nr. 3, § 48 GNotKG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auf einen für Zwecke der Steuererhebung festgesetzten Wert (§ 46 Abs. 3 Satz 1 Nummer 3 GNotKG oder § 48 GNotKG) zurückgegriffen, genügt als Nachweis die Vorlage des Steuerbescheides (etwa des Feststellungsbescheids), sofern sich der Wert des Grundbesitzes nicht schon aus der steuerlichen Unbedenklichkeitsbescheinigung ergibt. Das Finanzamt ist um Auskunft über die Höhe der für Zwecke der Steuererhebung festgesetzten Werte oder um Erteilung einer Abschrift des entsprechenden Steuerbescheides nur zu ersuchen, wenn der Kostenschuldner den Steuerbescheid nicht vorlegt, ausnahmsweise auch dann, wenn die Wertermittlung besonders schwierig ist. Für die Aufbewahrung dieser Bescheide gilt § 3 Abs. 8 der Aktenordnung entsprechend.</w:t>
      </w:r>
    </w:p>
    <w:p>
      <w:r>
        <w:t xml:space="preserve">(2) Das Finanzamt ist für die Ermittlung des Nachlasswertes und der Zusammensetzung des Nachlasses gemäß § 40 Abs. 6 GNotKG nur in Einzelfällen nachrangig um Auskunft zu ersuchen, z.B. wenn die Beteiligten keine für die Wertermittlung erforderlichen Angaben mitteilen oder Anhaltspunkte dafür bestehen, dass diese Angaben unrichtig sind. War bereits ein Kostenansatz aufgestellt und gibt die Auskunft des Finanzamts Anlass, den Kostenansatz zu ändern, ist dessen Änderung durch den Kostenbeamten zu veranlassen; wird dabei eine Nacherhebung von Kosten erforderlich, ist diese unter Beachtung des § 20 GNotKG vorzunehmen. Ist bereits eine Festsetzung des Geschäftswerts erfolgt, ist die Auskunft des Finanzamts zunächst dem für die Wertfestsetzung zuständigen Richter oder Rechtspfleger vorzulegen, damit dieser prüfen kann, ob eine Änderung des festgesetzten Geschäftswerts innerhalb der Frist des § 79 Abs. 2 Satz 2 GNotKG veranlasst ist.</w:t>
      </w:r>
    </w:p>
    <w:p>
      <w:r>
        <w:rPr>
          <w:color w:val="555555"/>
          <w:sz w:val="17"/>
        </w:rPr>
        <w:t xml:space="preserve">Zitiervorschlag: § 17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