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KostVfg (Bayern) — Zeit des Kostenansatzes in besonderen Fällen</w:t>
      </w:r>
    </w:p>
    <w:p>
      <w:r>
        <w:rPr>
          <w:color w:val="555555"/>
          <w:sz w:val="18"/>
        </w:rPr>
        <w:t xml:space="preserve">Kostenverfügung (BAnz AT 29.09.2023 B2)</w:t>
      </w:r>
    </w:p>
    <w:p>
      <w:r>
        <w:rPr>
          <w:color w:val="555555"/>
          <w:sz w:val="18"/>
        </w:rPr>
        <w:t xml:space="preserve">Landesrecht Bayern</w:t>
      </w:r>
    </w:p>
    <w:p>
      <w:r>
        <w:rPr>
          <w:color w:val="555555"/>
          <w:sz w:val="18"/>
        </w:rPr>
        <w:t xml:space="preserve">Stand: 25.08.2026 (konsolidierte Textfassung, kein amtliches Inkrafttretensdatum)</w:t>
      </w:r>
    </w:p>
    <w:p>
      <w:r>
        <w:t xml:space="preserve">I. Gebühr für die Durchführung des Insolvenzverfahrens</w:t>
      </w:r>
    </w:p>
    <w:p>
      <w:r>
        <w:t xml:space="preserve">– zu Nrn. 2320, 2330 KV GKG –</w:t>
      </w:r>
    </w:p>
    <w:p>
      <w:r>
        <w:t xml:space="preserve">(1) Die Gebühr für die Durchführung des Insolvenzverfahrens ist spätestens nach Abhaltung des Prüfungstermins (§ 176 InsO) anzusetzen.</w:t>
      </w:r>
    </w:p>
    <w:p>
      <w:r>
        <w:t xml:space="preserve">(2) Bei Einstellung des Insolvenzverfahrens oder nach Bestätigung des Insolvenzplanes hat der Kostenbeamte den Insolvenzverwalter schriftlich aufzufordern, einen Betrag zurückzubehalten, der zur Deckung der näher zu bezeichnenden Gerichtskosten ausreicht. § 3 Abs. 2 Satz 2 gilt entsprechend.</w:t>
      </w:r>
    </w:p>
    <w:p>
      <w:r>
        <w:t xml:space="preserve">II. Kosten in Vormundschafts-, Dauerbetreuungs-, Dauerpflegschafts- und Nachlasssachen</w:t>
      </w:r>
    </w:p>
    <w:p>
      <w:r>
        <w:t xml:space="preserve">– zu § 8 GNotKG, § 10 FamGKG –</w:t>
      </w:r>
    </w:p>
    <w:p>
      <w:r>
        <w:t xml:space="preserve">Die bei Vormundschaften, Dauerbetreuungen und -pflegschaften sowie bei Nachlasssachen zu Beginn eines jeden Kalenderjahres fällig werdenden Gebühren sind spätestens, wenn kein Verlust für die Staatskasse zu besorgen ist, anlässlich der Prüfung der jährlichen Rechnungslegung oder, wenn eine solche nicht stattfindet, der Prüfung des jährlichen Berichts über die persönlichen Verhältnisse anzusetzen. Zur Sicherstellung des rechtzeitigen Ansatzes dieser Gebühren sind die in Betracht kommenden Akten von dem Kostenbeamten in ein Verzeichnis einzutragen, das mindestens folgende Spalten enthält:</w:t>
      </w:r>
    </w:p>
    <w:p>
      <w:r>
        <w:t xml:space="preserve">1. Lfd. Nr. 2. Aktenzeichen 3. Bezeichnung der Sache 4. Jahresgebühr berechnet am:</w:t>
      </w:r>
    </w:p>
    <w:p>
      <w:r>
        <w:t xml:space="preserve">III. Kosten in Scheidungsfolgesachen und in Folgesachen</w:t>
      </w:r>
    </w:p>
    <w:p>
      <w:r>
        <w:t xml:space="preserve">Gebühren in Scheidungsfolgesachen und in Folgesachen eines Verfahrens über die Aufhebung der Lebenspartnerschaft werden erst angesetzt, wenn eine unbedingte Entscheidung über die Kosten ergangen ist oder das Verfahren oder die Instanz durch Vergleich, Zurücknahme oder anderweitige Erledigung beendet ist (§ 9 Abs. 1, § 11 Abs. 1 FamGKG).</w:t>
      </w:r>
    </w:p>
    <w:p>
      <w:r>
        <w:rPr>
          <w:color w:val="555555"/>
          <w:sz w:val="17"/>
        </w:rPr>
        <w:t xml:space="preserve">Zitiervorschlag: § 16 KostVfg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https://recht.nulegal.eu/gesetze/KostVfg/16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