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KostVfg (Bayern) — Haftkosten</w:t>
      </w:r>
    </w:p>
    <w:p>
      <w:r>
        <w:rPr>
          <w:color w:val="555555"/>
          <w:sz w:val="18"/>
        </w:rPr>
        <w:t xml:space="preserve">Kostenverfügung (BAnz AT 29.09.2023 B2)</w:t>
      </w:r>
    </w:p>
    <w:p>
      <w:r>
        <w:rPr>
          <w:color w:val="555555"/>
          <w:sz w:val="18"/>
        </w:rPr>
        <w:t xml:space="preserve">Landesrecht Bayern</w:t>
      </w:r>
    </w:p>
    <w:p>
      <w:r>
        <w:rPr>
          <w:color w:val="555555"/>
          <w:sz w:val="18"/>
        </w:rPr>
        <w:t xml:space="preserve">Stand: 25.08.2026 (konsolidierte Textfassung, kein amtliches Inkrafttretensdatum)</w:t>
      </w:r>
    </w:p>
    <w:p>
      <w:r>
        <w:t xml:space="preserve">Die Erhebung von Kosten der Vollstreckung von freiheitsentziehenden Maßregeln der Besserung und Sicherung richtet sich nach § 138 Abs. 2, § 50 StVollzG. Die Kosten der Untersuchungshaft sowie einer sonstigen Haft außer Zwangshaft, die Kosten einer einstweiligen Unterbringung (§ 126a StPO), einer Unterbringung zur Beobachtung (§ 81 StPO) und einer einstweiligen Unterbringung in einem Heim für Jugendhilfe (§ 71 Abs. 2, § 72 Abs. 4 JGG) werden nur angesetzt, wenn sie auch von einem Gefangenen im Strafvollzug zu erheben wären (Nr. 9011 KV GKG, Nr. 2009 KV FamGKG, Nr. 31011 KV GNotKG, Vorbemerkung 2 KV JVKostG i.V.m. Nr. 9011 KV GKG).</w:t>
      </w:r>
    </w:p>
    <w:p>
      <w:r>
        <w:rPr>
          <w:color w:val="555555"/>
          <w:sz w:val="17"/>
        </w:rPr>
        <w:t xml:space="preserve">Zitiervorschlag: § 14 KostVfg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https://recht.nulegal.eu/gesetze/KostVfg/14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