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KostVfg (Bayern) — Nichterhebung von Auslagen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Der Kostenbeamte ist befugt, folgende Auslagen außer Ansatz zu lassen:</w:t>
      </w:r>
    </w:p>
    <w:p>
      <w:r>
        <w:t xml:space="preserve">1. Auslagen, die durch eine von Amts wegen veranlasste Verlegung eines Termins oder Vertagung einer Verhandlung entstanden sind (§ 21 Abs. 1 Satz 2 GKG, § 20 Abs. 1 Satz 2 FamGKG, § 21 Abs. 1 Satz 2 GNotKG),</w:t>
      </w:r>
    </w:p>
    <w:p>
      <w:r>
        <w:t xml:space="preserve">2. Auslagen, die durch eine vom Gericht fehlerhaft ausgeführte Zustellung angefallen sind (z.B. doppelte Ausführung einer Zustellung, fehlerhafte Adressierung),</w:t>
      </w:r>
    </w:p>
    <w:p>
      <w:r>
        <w:t xml:space="preserve">3. Auslagen, die entstanden sind, weil eine angeordnete Abladung von Zeugen, Sachverständigen, Übersetzern usw. nicht oder nicht rechtzeitig ausgeführt worden ist.</w:t>
      </w:r>
    </w:p>
    <w:p>
      <w:r>
        <w:t xml:space="preserve">Der Kostenbeamte legt die Akten aber dem Gericht mit der Anregung einer Entscheidung vor, wenn dies mit Rücksicht auf rechtliche oder tatsächliche Schwierigkeiten erforderlich erscheint. Die Entscheidung des Kostenbeamten nach Satz 1 ist keine das Gericht bindende Anordnung im Sinne von § 21 Abs. 2 Satz 3 GKG, § 20 Abs. 2 Satz 3 FamGKG und § 21 Abs. 2 Satz 3 GNotKG.</w:t>
      </w:r>
    </w:p>
    <w:p>
      <w:r>
        <w:rPr>
          <w:color w:val="555555"/>
          <w:sz w:val="17"/>
        </w:rPr>
        <w:t xml:space="preserve">Zitiervorschlag: § 11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