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KostVfg (Bayern) — Unvermögen des Kostenschuldners in anderen Fällen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In anderen als den in § 8 Abs. 2, 3 und in der Nr. 3.1 der Durchführungsbestimmungen zur Prozess- und Verfahrenskostenhilfe sowie zur Stundung der Kosten des Insolvenzverfahrens (DB-PKH) bezeichneten Fällen darf der Kostenbeamte vom Ansatz der Kosten nur dann absehen, wenn das dauernde Unvermögen des Kostenschuldners zur Zahlung offenkundig oder ihm aus anderen Vorgängen bekannt ist oder wenn sich der Kostenschuldner dauernd an einem Ort aufhält, an dem eine Beitreibung keinen Erfolg verspricht. Das dauernde Unvermögen des Kostenschuldners ist nicht schon deshalb zu verneinen, weil er möglicherweise später einmal in die Lage kommen könnte, die Schuld ganz oder teilweise zu bezahlen. Wenn dagegen bestimmte Gründe vorliegen, die dies mit einiger Sicherheit erwarten lassen, liegt dauerndes Unvermögen nicht vor.</w:t>
      </w:r>
    </w:p>
    <w:p>
      <w:r>
        <w:t xml:space="preserve">(2) Ohne Rücksicht auf das dauernde Unvermögen des Kostenschuldners sind die Kosten anzusetzen,</w:t>
      </w:r>
    </w:p>
    <w:p>
      <w:r>
        <w:t xml:space="preserve">1. wenn ein zahlungsfähiger Kostenschuldner für die Kosten mithaftet;</w:t>
      </w:r>
    </w:p>
    <w:p>
      <w:r>
        <w:t xml:space="preserve">2. wenn anzunehmen ist, dass durch Ausübung des Zurückbehaltungsrechts (§ 23) die Zahlung der Kosten erreicht werden kann, insbesondere dann, wenn ein anderer Empfangsberechtigter an der Aushändigung der zurückbehaltenen Dokumente ein Interesse hat;</w:t>
      </w:r>
    </w:p>
    <w:p>
      <w:r>
        <w:t xml:space="preserve">3. wenn die Kosten zugleich mit einem Geldbetrag im Sinne des § 1 Abs. 1 der Einforderungs- und Beitreibungsanordnung einzuziehen sind (§ 4 Abs. 6);</w:t>
      </w:r>
    </w:p>
    <w:p>
      <w:r>
        <w:t xml:space="preserve">4. wenn es sich um Gebühren oder Vorschüsse handelt, von deren Entrichtung die Vornahme einer Amtshandlung abhängt (§ 26).</w:t>
      </w:r>
    </w:p>
    <w:p>
      <w:r>
        <w:t xml:space="preserve">(3) Angaben im Verfahren über die Prozess- oder Verfahrenskostenhilfe, Feststellungen im Strafverfahren über die Einkommens- und Vermögensverhältnisse des Beschuldigten (Nr. 14 der Richtlinien für das Strafverfahren und das Bußgeldverfahren) oder Mitteilungen der Vollstreckungsbehörde können dem Kostenbeamten einen Anhalt für seine Entschließung bieten. Er wird dadurch aber nicht von der Verpflichtung entbunden, selbständig zu prüfen und zu entscheiden, ob tatsächlich Unvermögen zur Zahlung anzunehmen ist. Nötigenfalls stellt er geeignete Ermittlungen an. In Strafsachen sind an Stellen außerhalb der Justizverwaltung Anfragen nach den wirtschaftlichen Verhältnissen des Kostenschuldners nur ausnahmsweise und nur dann zu richten, wenn nicht zu befürchten ist, dass dem Kostenschuldner aus diesen Anfragen Schwierigkeiten erwachsen könnten. Bei der Fassung etwaiger Anfragen ist jeder Hinweis darauf zu vermeiden, dass es sich um Kosten aus einer Strafsache handelt.</w:t>
      </w:r>
    </w:p>
    <w:p>
      <w:r>
        <w:t xml:space="preserve">(4) Der Kostenbeamte vermerkt in den Akten, dass er die Kosten nicht angesetzt hat; er gibt dabei die Gründe kurz an und verweist auf die Aktenstelle, aus der sie ersichtlich sind. § 3 Abs. 2 Satz 2 gilt entsprechend.</w:t>
      </w:r>
    </w:p>
    <w:p>
      <w:r>
        <w:t xml:space="preserve">(5) Nach Absatz 1 außer Ansatz gelassene Kosten sind anzusetzen, wenn Anhaltspunkte dafür bekannt werden, dass eine Einziehung Erfolg haben wird.</w:t>
      </w:r>
    </w:p>
    <w:p>
      <w:r>
        <w:rPr>
          <w:color w:val="555555"/>
          <w:sz w:val="17"/>
        </w:rPr>
        <w:t xml:space="preserve">Zitiervorschlag: § 10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