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KostVfg (Bayern) — Kostenbeamter</w:t>
      </w:r>
    </w:p>
    <w:p>
      <w:r>
        <w:rPr>
          <w:color w:val="555555"/>
          <w:sz w:val="18"/>
        </w:rPr>
        <w:t xml:space="preserve">Kostenverfügung (BAnz AT 29.09.2023 B2)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Aufgaben des Kostenbeamten werden nach den darüber ergangenen allgemeinen Anordnungen von den Beamten des gehobenen oder mittleren Justizdienstes oder vergleichbaren Beschäftigten wahrgenommen.</w:t>
      </w:r>
    </w:p>
    <w:p>
      <w:r>
        <w:rPr>
          <w:color w:val="555555"/>
          <w:sz w:val="17"/>
        </w:rPr>
        <w:t xml:space="preserve">Zitiervorschlag: § 1 KostVfg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https://recht.nulegal.eu/gesetze/KostVfg/1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