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KostVGes</w:t>
      </w:r>
    </w:p>
    <w:p>
      <w:r>
        <w:rPr>
          <w:color w:val="555555"/>
          <w:sz w:val="18"/>
        </w:rPr>
        <w:t xml:space="preserve">Gesundheitseinrichtungen-Kostenverordnung</w:t>
      </w:r>
    </w:p>
    <w:p>
      <w:r>
        <w:rPr>
          <w:color w:val="555555"/>
          <w:sz w:val="18"/>
        </w:rPr>
        <w:t xml:space="preserve">Historische Fassung: Stand 10.06.2019 bis 01.10.2021. Dies ist nicht die aktuelle Fassung.</w:t>
      </w:r>
    </w:p>
    <w:p>
      <w:r>
        <w:t xml:space="preserve">(1) Erfordert eine der in den §§ 2 bis 5 aufgeführten individuell zurechenbaren öffentlichen Leistungen im Einzelfall einen außergewöhnlich hohen Aufwand, so kann die Gebühr bis auf das Doppelte der danach zu erhebenden Gebühr erhöht werden. Der Gebührenschuldner ist zu hören, wenn mit der Erhöhung der Gebühr zu rechnen ist.</w:t>
      </w:r>
    </w:p>
    <w:p>
      <w:r>
        <w:t xml:space="preserve">(2) Die nach den §§ 2 und 3 zu erhebenden Gebühren können auf Antrag des Gebührenschuldners bis auf die Hälfte der vorgesehenen Gebühr ermäßigt werden, wenn der Antragsteller einen den Entwicklungskosten einschließlich der Gebühren angemessenen wirtschaftlichen Nutzen nicht erwarten kann und an der individuell zurechenbaren öffentlichen Leistung ein öffentliches Interesse besteht.</w:t>
      </w:r>
    </w:p>
    <w:p>
      <w:r>
        <w:t xml:space="preserve">(3) Die nach § 5 Abs. 1 zu erhebende Gebühr kann auf Antrag des Gebührenschuldners bis auf die Hälfte ermäßigt werden, wenn der mit der individuell zurechenbaren öffentlichen Leistung verbundene Personal- und Sachaufwand einerseits und die Bedeutung, der wirtschaftliche Wert oder der sonstige Nutzen der individuell zurechenbaren öffentlichen Leistung für den Gebührenschuldner andererseits dies rechtfertigen.</w:t>
      </w:r>
    </w:p>
    <w:p>
      <w:r>
        <w:rPr>
          <w:color w:val="555555"/>
          <w:sz w:val="17"/>
        </w:rPr>
        <w:t xml:space="preserve">Zitiervorschlag: § 8 KostVGes</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https://recht.nulegal.eu/gesetze/KostVGes/8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