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KostVGes</w:t>
      </w:r>
    </w:p>
    <w:p>
      <w:r>
        <w:rPr>
          <w:color w:val="555555"/>
          <w:sz w:val="18"/>
        </w:rPr>
        <w:t xml:space="preserve">Gesundheitseinrichtungen-Kostenverordnung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Für die Bearbeitung von Änderungsanzeigen sowie bei nachträglicher Erteilung von Auflagen wird eine Gebühr bis zur Hälfte der für die jeweilige individuell zurechenbare öffentliche Leistung vorgesehenen Gebühr erhoben.</w:t>
      </w:r>
    </w:p>
    <w:p>
      <w:r>
        <w:t xml:space="preserve">(2) Bei Änderungsanzeigen, die keinen inhaltlichen Prüfungsaufwand erfordern, zum Beispiel Änderung des Firmennamens oder der Anschrift oder der Produktbezeichnung, beträgt die Gebühr 100 DM.</w:t>
      </w:r>
    </w:p>
    <w:p>
      <w:r>
        <w:rPr>
          <w:color w:val="555555"/>
          <w:sz w:val="17"/>
        </w:rPr>
        <w:t xml:space="preserve">Zitiervorschlag: § 6 KostVGes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https://recht.nulegal.eu/gesetze/KostVGes/6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