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Diese Verordnung tritt am Tage nach der Verkündung in Kraft.</w:t>
      </w:r>
    </w:p>
    <w:p>
      <w:r>
        <w:t xml:space="preserve">(2) Gleichzeitig tritt die BGA-Nachfolgeeinrichtungen-Kostenverordnung vom 24. April 1992 (BGBl. I S. 963, zuletzt geändert durch die Verordnung vom 3. März 1995 (BGBl. I S. 280), außer Kraft.</w:t>
      </w:r>
    </w:p>
    <w:p>
      <w:r>
        <w:t xml:space="preserve">(3) Für Anträge nach den §§ 2 bis 5, 8 und 9, die vor dem Inkrafttreten dieser Verordnung gestellt wurden, werden die Gebühren nach Maßgabe der in Absatz 2 genannten Kostenverordnung erhoben.</w:t>
      </w:r>
    </w:p>
    <w:p>
      <w:r>
        <w:rPr>
          <w:color w:val="555555"/>
          <w:sz w:val="17"/>
        </w:rPr>
        <w:t xml:space="preserve">Zitiervorschlag: § 10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