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KostErstV (Bayern)</w:t>
      </w:r>
    </w:p>
    <w:p>
      <w:r>
        <w:rPr>
          <w:color w:val="555555"/>
          <w:sz w:val="18"/>
        </w:rPr>
        <w:t xml:space="preserve">Verordnung über die Kostenerstattung an regionale Planungsverbände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10 Satz 2 des Bayerischen Landesplanungsgesetzes (BayLplG) erläßt die Bayerische Staatsregierung folgende Verordnung:</w:t>
      </w:r>
    </w:p>
    <w:p>
      <w:r>
        <w:rPr>
          <w:color w:val="555555"/>
          <w:sz w:val="17"/>
        </w:rPr>
        <w:t xml:space="preserve">Zitiervorschlag: Eingangsformel KostErstV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https://recht.nulegal.eu/gesetze/KostErstV/eingangsformel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