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KostErmÄndG — Flaggenrechtsgesetz</w:t>
      </w:r>
    </w:p>
    <w:p>
      <w:r>
        <w:rPr>
          <w:color w:val="555555"/>
          <w:sz w:val="18"/>
        </w:rPr>
        <w:t xml:space="preserve">Kostenermächtigungs-Änderungsgesetz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21 KostErmÄndG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https://recht.nulegal.eu/gesetze/KostErm%C3%84ndG/21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