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KosmetikerMstrV</w:t>
      </w:r>
    </w:p>
    <w:p>
      <w:r>
        <w:rPr>
          <w:color w:val="555555"/>
          <w:sz w:val="18"/>
        </w:rPr>
        <w:t xml:space="preserve">Kosmetikermeisterverordnung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Absatz 2 der Handwerksordnung, der zuletzt durch Artikel 3 Nummer 3 Buchstabe a des Gesetzes vom 11. Juli 2011 (BGBl. I S. 1341) geändert worden ist, in Verbindung mit § 1 Absatz 1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KosmetikerMstrV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https://recht.nulegal.eu/gesetze/KosmetikerMstrV/eingangsformel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