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KosmetikerMstrV — Inkrafttreten</w:t>
      </w:r>
    </w:p>
    <w:p>
      <w:r>
        <w:rPr>
          <w:color w:val="555555"/>
          <w:sz w:val="18"/>
        </w:rPr>
        <w:t xml:space="preserve">Kosmetikermeisterverordnung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2015 in Kraft.</w:t>
      </w:r>
    </w:p>
    <w:p>
      <w:r>
        <w:rPr>
          <w:color w:val="555555"/>
          <w:sz w:val="17"/>
        </w:rPr>
        <w:t xml:space="preserve">Zitiervorschlag: § 11 KosmetikerMstrV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https://recht.nulegal.eu/gesetze/KosmetikerMstrV/11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