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KosmAusbV — Struktur und Zielsetzung der Berufsausbildung</w:t>
      </w:r>
    </w:p>
    <w:p>
      <w:r>
        <w:rPr>
          <w:color w:val="555555"/>
          <w:sz w:val="18"/>
        </w:rPr>
        <w:t xml:space="preserve">Verordnung über die Berufsausbildung zum Kosmetiker/zur Kosmetikerin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gliedert sich in:</w:t>
      </w:r>
    </w:p>
    <w:p>
      <w:pPr>
        <w:ind w:left="420"/>
      </w:pPr>
      <w:r>
        <w:t xml:space="preserve">1. Pflichtqualifikationseinheiten gemäß § 4 Abs. 1 Nr. 1 bis 12,</w:t>
      </w:r>
    </w:p>
    <w:p>
      <w:pPr>
        <w:ind w:left="420"/>
      </w:pPr>
      <w:r>
        <w:t xml:space="preserve">2. von den Vertragsparteien festzulegende Wahlqualifikationseinheiten gemäß § 4 Abs. 2 Nr. 1 bis 7 im Umfang von insgesamt zwölf Wochen.</w:t>
      </w:r>
    </w:p>
    <w:p>
      <w:r>
        <w:rPr>
          <w:color w:val="555555"/>
          <w:sz w:val="17"/>
        </w:rPr>
        <w:t xml:space="preserve">Zitiervorschlag: § 3 KosmAusbV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