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KorbmMstrV</w:t>
      </w:r>
    </w:p>
    <w:p>
      <w:r>
        <w:rPr>
          <w:color w:val="555555"/>
          <w:sz w:val="18"/>
        </w:rPr>
        <w:t xml:space="preserve">Korbmachermeisterverordnung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45 der Handwerksordnung in der Fassung der Bekanntmachung vom 28. Dezember 1965 (BGBl. 1966 I S. 1), der zuletzt durch Artikel 24 Nr. 1 des Gesetzes vom 18. März 1975 (BGBl. I S. 705) geändert worden ist, verordnet das Bundesministerium für Wirtschaft im Einvernehmen mit dem Bundesministerium für Bildung und Wissenschaft:</w:t>
      </w:r>
    </w:p>
    <w:p>
      <w:r>
        <w:rPr>
          <w:color w:val="555555"/>
          <w:sz w:val="17"/>
        </w:rPr>
        <w:t xml:space="preserve">Zitiervorschlag: Eingangsformel KorbmMstrV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https://recht.nulegal.eu/gesetze/KorbmMstrV/eingangsformel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