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KorbmMstrV — Meisterprüfungsarbeit</w:t>
      </w:r>
    </w:p>
    <w:p>
      <w:r>
        <w:rPr>
          <w:color w:val="555555"/>
          <w:sz w:val="18"/>
        </w:rPr>
        <w:t xml:space="preserve">Korbmachermeisterverordnung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Als Meisterprüfungsarbeit sind drei der nachstehend genannten Arbeiten, davon in jedem Falle die nach den Nummern 1 und 2, anzufertigen:</w:t>
      </w:r>
    </w:p>
    <w:p>
      <w:pPr>
        <w:ind w:left="420"/>
      </w:pPr>
      <w:r>
        <w:t xml:space="preserve">1. ein Korb- oder Rattanmöbel mit Brennteilen nach eigenem Entwurf,</w:t>
      </w:r>
    </w:p>
    <w:p>
      <w:pPr>
        <w:ind w:left="420"/>
      </w:pPr>
      <w:r>
        <w:t xml:space="preserve">2. eine gewürfelte Truhe - mindestens 80 cm lang - mit Wulstkimme und Auffalldecken,</w:t>
      </w:r>
    </w:p>
    <w:p>
      <w:pPr>
        <w:ind w:left="420"/>
      </w:pPr>
      <w:r>
        <w:t xml:space="preserve">3. eine Flechtarbeit aus Binse, Stuhlflechtrohr, Naturrohr, Spänen oder Weide,</w:t>
      </w:r>
    </w:p>
    <w:p>
      <w:pPr>
        <w:ind w:left="420"/>
      </w:pPr>
      <w:r>
        <w:t xml:space="preserve">4. ein Korb aus Weidenschienen.</w:t>
      </w:r>
    </w:p>
    <w:p>
      <w:r>
        <w:t xml:space="preserve">(2) Der Prüfling hat vor Anfertigung der Meisterprüfungsarbeit dem Meisterprüfungsausschuß Werkzeichnungen und die Vorkalkulation zur Genehmigung vorzulegen.</w:t>
      </w:r>
    </w:p>
    <w:p>
      <w:r>
        <w:t xml:space="preserve">(3) Die Werkzeichnungen sowie die Vor- und Nachkalkulation sind bei der Bewertung der Meisterprüfungsarbeit zu berücksichtigen.</w:t>
      </w:r>
    </w:p>
    <w:p>
      <w:r>
        <w:rPr>
          <w:color w:val="555555"/>
          <w:sz w:val="17"/>
        </w:rPr>
        <w:t xml:space="preserve">Zitiervorschlag: § 3 KorbmMstrV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https://recht.nulegal.eu/gesetze/KorbmMstrV/3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