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KorbmMstrV — Gliederung, Dauer und Bestehen der praktischen Prüfung (Teil I)</w:t>
      </w:r>
    </w:p>
    <w:p>
      <w:r>
        <w:rPr>
          <w:color w:val="555555"/>
          <w:sz w:val="18"/>
        </w:rPr>
        <w:t xml:space="preserve">Korbmachermeisterverordnung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neun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KorbmMstrV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https://recht.nulegal.eu/gesetze/KorbmMstrV/2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