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8a KonzVgV — Erstellung und Übermittlung von Bekanntmachungen; Datenaustauschstandard eForms</w:t>
      </w:r>
    </w:p>
    <w:p>
      <w:r>
        <w:rPr>
          <w:color w:val="555555"/>
          <w:sz w:val="18"/>
        </w:rPr>
        <w:t xml:space="preserve">Konzessionsvergabeverordnung</w:t>
      </w:r>
    </w:p>
    <w:p>
      <w:r>
        <w:rPr>
          <w:color w:val="555555"/>
          <w:sz w:val="18"/>
        </w:rPr>
        <w:t xml:space="preserve">Stand: 24.08.2023 (konsolidierte Textfassung, kein amtliches Inkrafttretensdatum)</w:t>
      </w:r>
    </w:p>
    <w:p>
      <w:r>
        <w:t xml:space="preserve">Für die Erstellung und Übermittlung von Konzessionsbekanntmachungen, Vorinformationen, Vergabebekanntmachungen und Bekanntmachungen zu Änderungen (Bekanntmachungen) gelten die Anforderung des § 10a Absatz 1, Absatz 2 Satz 1, Absatz 4 und Absatz 5 Satz 1 und 3 der Vergabeverordnung über die Vorgaben der Durchführungsverordnung (EU) 2019/1780 und des Datenaustauschstandards eForms einschließlich der Regelungen zu verpflichtenden Datenfeldern und der Übermittlung über den Datenservice Öffentlicher Einkauf entsprechend.</w:t>
      </w:r>
    </w:p>
    <w:p>
      <w:r>
        <w:rPr>
          <w:color w:val="555555"/>
          <w:sz w:val="17"/>
        </w:rPr>
        <w:t xml:space="preserve">Zitiervorschlag: § 8a KonzVgV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https://recht.nulegal.eu/gesetze/KonzVgV/8a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