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KonzVgV — Anforderungen an die verwendeten elektronischen Mittel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Konzessionsgeber legt das erforderliche Sicherheitsniveau für die elektronischen Mittel fest. Elektronische Mittel, die der Konzessionsgeber für den Empfang von Teilnahmeanträgen und Angeboten verwendet, müssen gewährleisten, dass</w:t>
      </w:r>
    </w:p>
    <w:p>
      <w:pPr>
        <w:ind w:left="420"/>
      </w:pPr>
      <w:r>
        <w:t xml:space="preserve">1. die Uhrzeit und der Tag des Datenempfangs genau zu bestimmen sind,</w:t>
      </w:r>
    </w:p>
    <w:p>
      <w:pPr>
        <w:ind w:left="420"/>
      </w:pPr>
      <w:r>
        <w:t xml:space="preserve">2. kein vorfristiger Zugriff auf die empfangenen Daten möglich ist,</w:t>
      </w:r>
    </w:p>
    <w:p>
      <w:pPr>
        <w:ind w:left="420"/>
      </w:pPr>
      <w:r>
        <w:t xml:space="preserve">3. der Termin für den erstmaligen Zugriff auf die empfangenen Daten nur von dem oder den Berechtigten festgelegt oder geändert werden kann,</w:t>
      </w:r>
    </w:p>
    <w:p>
      <w:pPr>
        <w:ind w:left="420"/>
      </w:pPr>
      <w:r>
        <w:t xml:space="preserve">4. nur die Berechtigten Zugriff auf die empfangenen Daten oder auf einen Teil derselben haben,</w:t>
      </w:r>
    </w:p>
    <w:p>
      <w:pPr>
        <w:ind w:left="420"/>
      </w:pPr>
      <w:r>
        <w:t xml:space="preserve">5. nur die berechtigten Dritten Zugriff auf die empfangenen Daten oder auf einen Teil derselben einräumen dürfen,</w:t>
      </w:r>
    </w:p>
    <w:p>
      <w:pPr>
        <w:ind w:left="420"/>
      </w:pPr>
      <w:r>
        <w:t xml:space="preserve">6. empfangene Daten nicht an Unberechtigte übermittelt werden und</w:t>
      </w:r>
    </w:p>
    <w:p>
      <w:pPr>
        <w:ind w:left="420"/>
      </w:pPr>
      <w:r>
        <w:t xml:space="preserve">7. Verstöße oder versuchte Verstöße gegen die Anforderungen gemäß den Nummern 1 bis 6 eindeutig festgestellt werden können.</w:t>
      </w:r>
    </w:p>
    <w:p>
      <w:r>
        <w:t xml:space="preserve">(2) Die elektronischen Mittel, die der Konzessionsgeber für den Empfang von Teilnahmeanträgen und Angeboten verwendet, müssen über eine einheitliche Datenaustauschschnittstelle verfügen. Es sind die jeweils geltenden IT-Interoperabilitäts- und IT-Sicherheitsstandards der Informationstechnik gemäß § 3 Absatz 1 des Vertrags über die Errichtung des IT-Planungsrats und über die Grundlagen der Zusammenarbeit beim Einsatz der Informationstechnologie in den Verwaltungen von Bund und Ländern vom 1. April 2010 zu verwenden.</w:t>
      </w:r>
    </w:p>
    <w:p>
      <w:r>
        <w:rPr>
          <w:color w:val="555555"/>
          <w:sz w:val="17"/>
        </w:rPr>
        <w:t xml:space="preserve">Zitiervorschlag: § 8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