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KonzVgV — Übergangsbestimmung für die elektronische Kommunikation und elektronische Übermittlung von Teilnahmeanträgen und Angeboten</w:t>
      </w:r>
    </w:p>
    <w:p>
      <w:r>
        <w:rPr>
          <w:color w:val="555555"/>
          <w:sz w:val="18"/>
        </w:rPr>
        <w:t xml:space="preserve">Konzessionsvergabeverordnung</w:t>
      </w:r>
    </w:p>
    <w:p>
      <w:r>
        <w:rPr>
          <w:color w:val="555555"/>
          <w:sz w:val="18"/>
        </w:rPr>
        <w:t xml:space="preserve">Stand: 10.06.2019 (konsolidierte Textfassung, kein amtliches Inkrafttretensdatum)</w:t>
      </w:r>
    </w:p>
    <w:p>
      <w:r>
        <w:t xml:space="preserve">Abweichend von § 28 Absatz 1 kann der Konzessionsgeber bis zum 18. Oktober 2018 die Übermittlung der Teilnahmeanträge und Angebote auch auf dem Postweg, einem anderen geeigneten Weg, Fax oder durch die Kombination dieser Mittel verlangen. Dasselbe gilt für die sonstige Kommunikation im Sinne des § 7 Absatz 1, soweit sie nicht die Übermittlung von Bekanntmachungen gemäß § 23 und die Bereitstellung der Vergabeunterlagen gemäß § 17 betrifft.</w:t>
      </w:r>
    </w:p>
    <w:p>
      <w:r>
        <w:rPr>
          <w:color w:val="555555"/>
          <w:sz w:val="17"/>
        </w:rPr>
        <w:t xml:space="preserve">Zitiervorschlag: § 34 KonzVgV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https://recht.nulegal.eu/gesetze/KonzVgV/34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