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KonzVgV — Zuschlagskriterien</w:t>
      </w:r>
    </w:p>
    <w:p>
      <w:r>
        <w:rPr>
          <w:color w:val="555555"/>
          <w:sz w:val="18"/>
        </w:rPr>
        <w:t xml:space="preserve">Konzessionsvergabeverordnung</w:t>
      </w:r>
    </w:p>
    <w:p>
      <w:r>
        <w:rPr>
          <w:color w:val="555555"/>
          <w:sz w:val="18"/>
        </w:rPr>
        <w:t xml:space="preserve">Stand: 10.06.2019 (konsolidierte Textfassung, kein amtliches Inkrafttretensdatum)</w:t>
      </w:r>
    </w:p>
    <w:p>
      <w:r>
        <w:t xml:space="preserve">(1) Die Zuschlagskriterien nach § 152 Absatz 3 des Gesetzes gegen Wettbewerbsbeschränkungen sind in absteigender Rangfolge anzugeben.</w:t>
      </w:r>
    </w:p>
    <w:p>
      <w:r>
        <w:t xml:space="preserve">(2) Enthält ein Angebot eine innovative Lösung mit außergewöhnlich hoher funktioneller Leistungsfähigkeit, die der Konzessionsgeber nicht vorhersehen konnte, kann die Reihenfolge der Zuschlagskriterien entsprechend geändert werden. In diesem Fall hat der Konzessionsgeber die Bieter über die geänderte Reihenfolge der Zuschlagskriterien zu unterrichten und unter Wahrung der Mindestfrist nach § 27 Absatz 4 Satz 1 eine neue Aufforderung zur Angebotsabgabe zu veröffentlichen. Wurden die Zuschlagskriterien zu demselben Zeitpunkt wie die Konzessionsbekanntmachung veröffentlicht, ist eine neue Konzessionsbekanntmachung unter Wahrung der Mindestfrist gemäß § 27 Absatz 3 zu veröffentlichen.</w:t>
      </w:r>
    </w:p>
    <w:p>
      <w:r>
        <w:t xml:space="preserve">(3) Der Konzessionsgeber überprüft nach § 152 Absatz 3 des Gesetzes gegen Wettbewerbsbeschränkungen, ob die Angebote die Zuschlagskriterien tatsächlich erfüllen.</w:t>
      </w:r>
    </w:p>
    <w:p>
      <w:r>
        <w:rPr>
          <w:color w:val="555555"/>
          <w:sz w:val="17"/>
        </w:rPr>
        <w:t xml:space="preserve">Zitiervorschlag: § 31 KonzVgV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https://recht.nulegal.eu/gesetze/KonzVgV/31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