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KonzVgV — Laufzeit von Konzessionen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Die Laufzeit von Konzessionen ist beschränkt. Der Konzessionsgeber schätzt die Laufzeit je nach den geforderten Bau- oder Dienstleistungen.</w:t>
      </w:r>
    </w:p>
    <w:p>
      <w:r>
        <w:t xml:space="preserve">(2) Bei Konzessionen mit einer Laufzeit von über fünf Jahren darf die Laufzeit nicht länger sein als der Zeitraum, innerhalb dessen der Konzessionsnehmer nach vernünftigem Ermessen die Investitionsaufwendungen für die Errichtung, die Erhaltung und den Betrieb des Bauwerks oder die Erbringung der Dienstleistungen zuzüglich einer Rendite auf das investierte Kapital unter Berücksichtigung der zur Verwirklichung der spezifischen Vertragsziele notwendigen Investitionen wieder erwirtschaften kann. Die dabei zugrunde zu legenden Investitionsaufwendungen umfassen sowohl die zu Anfang als auch die während der Laufzeit der Konzessionen vorzunehmenden Investitionen. In diesem Rahmen kann der Konzessionsgeber für bestimmte Konzessionstypen durchschnittliche Investitionsaufwendungen und durchschnittliche Renditen zugrunde legen, soweit es die Besonderheiten des jeweiligen Konzessionstyps rechtfertigen.</w:t>
      </w:r>
    </w:p>
    <w:p>
      <w:r>
        <w:rPr>
          <w:color w:val="555555"/>
          <w:sz w:val="17"/>
        </w:rPr>
        <w:t xml:space="preserve">Zitiervorschlag: § 3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