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KonzVgV — Form und Übermittlung der Teilnahmeanträge und Angebote</w:t>
      </w:r>
    </w:p>
    <w:p>
      <w:r>
        <w:rPr>
          <w:color w:val="555555"/>
          <w:sz w:val="18"/>
        </w:rPr>
        <w:t xml:space="preserve">Konzessionsvergabeverordnung</w:t>
      </w:r>
    </w:p>
    <w:p>
      <w:r>
        <w:rPr>
          <w:color w:val="555555"/>
          <w:sz w:val="18"/>
        </w:rPr>
        <w:t xml:space="preserve">Stand: 10.06.2019 (konsolidierte Textfassung, kein amtliches Inkrafttretensdatum)</w:t>
      </w:r>
    </w:p>
    <w:p>
      <w:r>
        <w:t xml:space="preserve">(1) Bewerber oder Bieter übermitteln ihre Teilnahmeanträge und Angebote grundsätzlich in Textform nach § 126b des Bürgerlichen Gesetzbuchs mithilfe elektronischer Mittel.</w:t>
      </w:r>
    </w:p>
    <w:p>
      <w:r>
        <w:t xml:space="preserve">(2) Der Konzessionsgeber ist nicht verpflichtet, die Einreichung von Teilnahmeanträgen und Angeboten mithilfe elektronischer Mittel zu verlangen, wenn auf die zur Einreichung erforderlichen elektronischen Mittel einer der in § 17 Absatz 2 genannten Gründe zutrifft oder wenn zugleich physische oder maßstabsgetreue Modelle einzureichen sind, die nicht elektronisch übermittelt werden können. In diesen Fällen erfolgt die Kommunikation auf dem Postweg oder auf einem anderen geeigneten Weg oder in Kombination von postalischem oder einem anderen geeigneten Weg und der Verwendung elektronischer Mittel. Der Konzessionsgeber gibt im Vergabevermerk die Gründe an, warum die Angebote mithilfe anderer als elektronischer Mittel eingereicht werden können.</w:t>
      </w:r>
    </w:p>
    <w:p>
      <w:r>
        <w:t xml:space="preserve">(3) Der Konzessionsgeber prüft, ob zu übermittelnde Daten erhöhte Anforderungen an die Sicherheit der Datenübermittlung stellen. Soweit es erforderlich ist, kann der Konzessionsgeber verlangen, dass Teilnahmeanträge und Angebote zu versehen sind mit</w:t>
      </w:r>
    </w:p>
    <w:p>
      <w:pPr>
        <w:ind w:left="420"/>
      </w:pPr>
      <w:r>
        <w:t xml:space="preserve">1. einer fortgeschrittenen elektronischen Signatur,</w:t>
      </w:r>
    </w:p>
    <w:p>
      <w:pPr>
        <w:ind w:left="420"/>
      </w:pPr>
      <w:r>
        <w:t xml:space="preserve">2. einer qualifizierten elektronischen Signatur,</w:t>
      </w:r>
    </w:p>
    <w:p>
      <w:pPr>
        <w:ind w:left="420"/>
      </w:pPr>
      <w:r>
        <w:t xml:space="preserve">3. einem fortgeschrittenen elektronischen Siegel oder</w:t>
      </w:r>
    </w:p>
    <w:p>
      <w:pPr>
        <w:ind w:left="420"/>
      </w:pPr>
      <w:r>
        <w:t xml:space="preserve">4. einem qualifizierten elektronischen Siegel.</w:t>
      </w:r>
    </w:p>
    <w:p>
      <w:r>
        <w:t xml:space="preserve">(4) Der Konzessionsgeber kann festlegen, dass Angebote mithilfe anderer als elektronischer Mittel einzureichen sind, wenn sie besonders schutzwürdige Daten enthalten, die bei Verwendung allgemein verfügbarer oder alternativer elektronischer Mittel nicht angemessen geschützt werden können. Der Konzessionsgeber gibt im Vergabevermerk die Gründe an, warum er die Einreichung der Angebote mithilfe anderer als elektronischer Mittel für erforderlich hält.</w:t>
      </w:r>
    </w:p>
    <w:p>
      <w:r>
        <w:rPr>
          <w:color w:val="555555"/>
          <w:sz w:val="17"/>
        </w:rPr>
        <w:t xml:space="preserve">Zitiervorschlag: § 28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