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KonzVgV — Beleg für die Eignung und das Nichtvorliegen von Ausschlussgründen</w:t>
      </w:r>
    </w:p>
    <w:p>
      <w:r>
        <w:rPr>
          <w:color w:val="555555"/>
          <w:sz w:val="18"/>
        </w:rPr>
        <w:t xml:space="preserve">Konzessionsvergabeverordnung</w:t>
      </w:r>
    </w:p>
    <w:p>
      <w:r>
        <w:rPr>
          <w:color w:val="555555"/>
          <w:sz w:val="18"/>
        </w:rPr>
        <w:t xml:space="preserve">Stand: 01.07.2026 (konsolidierte Textfassung, kein amtliches Inkrafttretensdatum)</w:t>
      </w:r>
    </w:p>
    <w:p>
      <w:r>
        <w:t xml:space="preserve">(1) Der Konzessionsgeber prüft die Eignung und das Nichtvorliegen von Ausschlussgründen grundsätzlich aufgrund der Vorlage von Eigenerklärungen, ansonsten von Nachweisen.</w:t>
      </w:r>
    </w:p>
    <w:p>
      <w:r>
        <w:t xml:space="preserve">(2) In der Konzessionsbekanntmachung ist anzugeben, mit welchen Unterlagen Unternehmen die Eignung und das Nichtvorliegen von Ausschlussgründen zu belegen haben. Ist eine Konzessionsbekanntmachung gemäß § 20 nicht erforderlich, sind diese Angaben in die Vergabeunterlagen aufzunehmen.</w:t>
      </w:r>
    </w:p>
    <w:p>
      <w:r>
        <w:t xml:space="preserve">(3) Bei Einbeziehung von Kapazitäten anderer Unternehmen gemäß § 25 Absatz 3 können Konzessionsgeber den Nachweis verlangen, dass die zur Erfüllung der Eignungskriterien erforderlichen Mittel während der gesamten Konzessionslaufzeit zur Verfügung stehen werden.</w:t>
      </w:r>
    </w:p>
    <w:p>
      <w:r>
        <w:t xml:space="preserve">(4) Kann ein Bewerber oder Bieter aus einem berechtigten Grund die geforderten Unterlagen nicht beibringen, so kann er seine wirtschaftliche und finanzielle Leistungsfähigkeit durch Vorlage anderer, vom Konzessionsgeber als geeignet angesehener Unterlagen belegen. Ein berechtigter Grund kann insbesondere auch in solchen Fällen vorliegen, in denen es sich bei dem Bewerber oder Bieter um ein junges Unternehmen handelt. Der Konzessionsgeber kann in den Vergabeunterlagen auf die Möglichkeit der Vorlage anderer Unterlagen nach Satz 1 hinweisen.</w:t>
      </w:r>
    </w:p>
    <w:p>
      <w:r>
        <w:rPr>
          <w:color w:val="555555"/>
          <w:sz w:val="17"/>
        </w:rPr>
        <w:t xml:space="preserve">Zitiervorschlag: § 26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