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KonzVgV — Ausnahmen von der Konzessionsbekanntmachung</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Von einer Konzessionsbekanntmachung kann abgesehen werden, wenn die Bau- oder Dienstleistung nur von einem bestimmten Unternehmen erbracht werden kann, weil</w:t>
      </w:r>
    </w:p>
    <w:p>
      <w:pPr>
        <w:ind w:left="420"/>
      </w:pPr>
      <w:r>
        <w:t xml:space="preserve">1. das Ziel der Konzession die Erschaffung oder der Erwerb eines einzigartigen Kunstwerks oder einer einzigartigen künstlerischen Leistung ist,</w:t>
      </w:r>
    </w:p>
    <w:p>
      <w:pPr>
        <w:ind w:left="420"/>
      </w:pPr>
      <w:r>
        <w:t xml:space="preserve">2. Wettbewerb aus technischen Gründen nicht entstehen kann,</w:t>
      </w:r>
    </w:p>
    <w:p>
      <w:pPr>
        <w:ind w:left="420"/>
      </w:pPr>
      <w:r>
        <w:t xml:space="preserve">3. ein ausschließliches Recht besteht oder</w:t>
      </w:r>
    </w:p>
    <w:p>
      <w:pPr>
        <w:ind w:left="420"/>
      </w:pPr>
      <w:r>
        <w:t xml:space="preserve">4. Rechte des geistigen Eigentums oder andere als die in § 101 Absatz 2 in Verbindung mit § 100 Absatz 2 Satz 1 des Gesetzes gegen Wettbewerbsbeschränkungen definierten ausschließlichen Rechte zu beachten sind.</w:t>
      </w:r>
    </w:p>
    <w:p>
      <w:r>
        <w:t xml:space="preserve">Satz 1 Nummer 2 bis 4 ist nur anzuwenden, wenn es keine sinnvolle Alternative oder Ersatzlösung gibt und der fehlende Wettbewerb nicht das Ergebnis einer künstlichen Einengung der Parameter der Konzessionsvergabe ist.</w:t>
      </w:r>
    </w:p>
    <w:p>
      <w:r>
        <w:t xml:space="preserve">(2) Von einer neuen Konzessionsbekanntmachung kann abgesehen werden, wenn bei einem vorausgegangenen Vergabeverfahren keine oder keine geeigneten Teilnahmeanträge oder Angebote eingereicht wurden, sofern die ursprünglichen Bedingungen des Konzessionsvertrags nicht grundlegend geändert werden und der Europäischen Kommission auf Anforderung ein Verfahrensbericht vorgelegt wird. Ungeeignet sind</w:t>
      </w:r>
    </w:p>
    <w:p>
      <w:pPr>
        <w:ind w:left="420"/>
      </w:pPr>
      <w:r>
        <w:t xml:space="preserve">1. ein Teilnahmeantrag, wenn</w:t>
      </w:r>
    </w:p>
    <w:p>
      <w:pPr>
        <w:ind w:left="780"/>
      </w:pPr>
      <w:r>
        <w:t xml:space="preserve">a) der Bewerber gemäß § 154 Nummer 2 in Verbindung mit den §§ 123 bis 126 des Gesetzes gegen Wettbewerbsbeschränkungen aufgrund eines zwingenden oder fakultativen Ausschlussgrunds auszuschließen ist oder ausgeschlossen werden könnte oder der Bewerber die gemäß § 152 Absatz 2 in Verbindung mit § 122 des Gesetzes gegen Wettbewerbsbeschränkungen festgelegten Eignungskriterien nicht erfüllt oder</w:t>
      </w:r>
    </w:p>
    <w:p>
      <w:pPr>
        <w:ind w:left="780"/>
      </w:pPr>
      <w:r>
        <w:t xml:space="preserve">b) der Teilnahmeantrag ein ungeeignetes Angebot enthält, weil dieses ohne wesentliche Abänderung den in den Vergabeunterlagen genannten Bedürfnissen und Anforderungen des Konzessionsgebers offensichtlich nicht entsprechen kann, und</w:t>
      </w:r>
    </w:p>
    <w:p>
      <w:pPr>
        <w:ind w:left="420"/>
      </w:pPr>
      <w:r>
        <w:t xml:space="preserve">2. ein Angebot, wenn es ohne wesentliche Abänderung den in den Vergabeunterlagen genannten Bedürfnissen und Anforderungen des Konzessionsgebers offensichtlich nicht entsprechen kann.</w:t>
      </w:r>
    </w:p>
    <w:p>
      <w:r>
        <w:rPr>
          <w:color w:val="555555"/>
          <w:sz w:val="17"/>
        </w:rPr>
        <w:t xml:space="preserve">Zitiervorschlag: § 20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