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KonzVgV — Konzessionsbekanntmachung; Ex-ante-Transparenz</w:t>
      </w:r>
    </w:p>
    <w:p>
      <w:r>
        <w:rPr>
          <w:color w:val="555555"/>
          <w:sz w:val="18"/>
        </w:rPr>
        <w:t xml:space="preserve">Konzessionsvergabeverordnung</w:t>
      </w:r>
    </w:p>
    <w:p>
      <w:r>
        <w:rPr>
          <w:color w:val="555555"/>
          <w:sz w:val="18"/>
        </w:rPr>
        <w:t xml:space="preserve">Stand: 24.08.2023 (konsolidierte Textfassung, kein amtliches Inkrafttretensdatum)</w:t>
      </w:r>
    </w:p>
    <w:p>
      <w:r>
        <w:t xml:space="preserve">(1) Der Konzessionsgeber teilt seine Absicht, eine Konzession zu vergeben, in einer Konzessionsbekanntmachung mit.</w:t>
      </w:r>
    </w:p>
    <w:p>
      <w:r>
        <w:t xml:space="preserve">(2) Die Konzessionsbekanntmachung wird nach den Vorgaben der Spalte 19 der Tabelle 2 des Anhangs der Durchführungsverordnung (EU) 2019/1780 in Verbindung mit § 8a in der jeweils geltenden Fassung erstellt.</w:t>
      </w:r>
    </w:p>
    <w:p>
      <w:r>
        <w:t xml:space="preserve">(3) Der Konzessionsgeber benennt in der Konzessionsbekanntmachung die Vergabekammer, an die sich die Unternehmen zur Nachprüfung geltend gemachter Vergabeverstöße wenden können.</w:t>
      </w:r>
    </w:p>
    <w:p>
      <w:r>
        <w:t xml:space="preserve">(4) Die freiwillige Ex-ante-Transparenzbekanntmachung im Sinne des § 135 Absatz 3 Satz 1 Nummer 2 und Satz 2 des Gesetzes gegen Wettbewerbsbeschränkungen erfolgt nach den Vorgaben der Spalte 28 in Tabelle 2 des Anhangs der Durchführungsverordnung (EU) 2019/1780 in Verbindung mit § 8a.</w:t>
      </w:r>
    </w:p>
    <w:p>
      <w:r>
        <w:rPr>
          <w:color w:val="555555"/>
          <w:sz w:val="17"/>
        </w:rPr>
        <w:t xml:space="preserve">Zitiervorschlag: § 19 KonzVgV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https://recht.nulegal.eu/gesetze/KonzVgV/19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