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KonzVgV — Bereitstellung der Vergabeunterlagen</w:t>
      </w:r>
    </w:p>
    <w:p>
      <w:r>
        <w:rPr>
          <w:color w:val="555555"/>
          <w:sz w:val="18"/>
        </w:rPr>
        <w:t xml:space="preserve">Konzessionsvergabeverordnung</w:t>
      </w:r>
    </w:p>
    <w:p>
      <w:r>
        <w:rPr>
          <w:color w:val="555555"/>
          <w:sz w:val="18"/>
        </w:rPr>
        <w:t xml:space="preserve">Stand: 01.07.2026 (konsolidierte Textfassung, kein amtliches Inkrafttretensdatum)</w:t>
      </w:r>
    </w:p>
    <w:p>
      <w:r>
        <w:t xml:space="preserve">(1) Der Konzessionsgeber gibt in der Konzessionsbekanntmachung oder – sofern die Konzessionsbekanntmachung keine Aufforderung zur Angebotsabgabe enthält – in der Aufforderung zur Angebotsabgabe eine elektronische Adresse an, unter der die Vergabeunterlagen nach § 16 unentgeltlich, uneingeschränkt, vollständig und direkt abgerufen werden können.</w:t>
      </w:r>
    </w:p>
    <w:p>
      <w:r>
        <w:t xml:space="preserve">(2) Der Konzessionsgeber kann die Vergabeunterlagen auf einem anderen geeigneten Weg übermitteln, wenn aufgrund hinreichend begründeter Umstände aus außergewöhnlichen Sicherheitsgründen oder technischen Gründen oder aufgrund der besonderen Sensibilität von Handelsinformationen, die eines sehr hohen Datenschutzniveaus bedürfen, ein unentgeltlicher, uneingeschränkter und vollständiger elektronischer Zugang nicht angeboten werden kann. In diesem Fall gibt der Konzessionsgeber in der Konzessionsbekanntmachung oder der Aufforderung zur Angebotsabgabe an, dass die Vergabeunterlagen auf einem anderen geeigneten Weg übermittelt werden können und die Frist für den Eingang der Angebote verlängert wird.</w:t>
      </w:r>
    </w:p>
    <w:p>
      <w:r>
        <w:rPr>
          <w:color w:val="555555"/>
          <w:sz w:val="17"/>
        </w:rPr>
        <w:t xml:space="preserve">Zitiervorschlag: § 17 KonzVgV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https://recht.nulegal.eu/gesetze/KonzVgV/17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