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KonzVgV — Umgehungsverbot</w:t>
      </w:r>
    </w:p>
    <w:p>
      <w:r>
        <w:rPr>
          <w:color w:val="555555"/>
          <w:sz w:val="18"/>
        </w:rPr>
        <w:t xml:space="preserve">Konzessionsvergabeverordnung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Verfahren zur Vergabe einer Konzession darf nicht in einer Weise ausgestaltet werden, dass es vom Anwendungsbereich des Teils 4 des Gesetzes gegen Wettbewerbsbeschränkungen ausgenommen wird oder bestimmte Unternehmen oder bestimmte Bauleistungen, Lieferungen oder Dienstleistungen auf unzulässige Weise bevorzugt oder benachteiligt werden.</w:t>
      </w:r>
    </w:p>
    <w:p>
      <w:r>
        <w:rPr>
          <w:color w:val="555555"/>
          <w:sz w:val="17"/>
        </w:rPr>
        <w:t xml:space="preserve">Zitiervorschlag: § 14 KonzVgV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https://recht.nulegal.eu/gesetze/KonzVgV/14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