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KonzVgV — Allgemeine Verwaltungsvorschriften</w:t>
      </w:r>
    </w:p>
    <w:p>
      <w:r>
        <w:rPr>
          <w:color w:val="555555"/>
          <w:sz w:val="18"/>
        </w:rPr>
        <w:t xml:space="preserve">Konzessionsvergabeverordnung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kann mit Zustimmung des Bundesrates allgemeine Verwaltungsvorschriften über die zu verwendenden elektronischen Mittel (Basisdienste für die elektronische Konzessionsvergabe) sowie über die einzuhaltenden technischen Standards erlassen.</w:t>
      </w:r>
    </w:p>
    <w:p>
      <w:r>
        <w:rPr>
          <w:color w:val="555555"/>
          <w:sz w:val="17"/>
        </w:rPr>
        <w:t xml:space="preserve">Zitiervorschlag: § 11 KonzVgV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https://recht.nulegal.eu/gesetze/KonzVgV/11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