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KonzVgV — Einsatz alternativer elektronischer Mittel bei der Kommunikation</w:t>
      </w:r>
    </w:p>
    <w:p>
      <w:r>
        <w:rPr>
          <w:color w:val="555555"/>
          <w:sz w:val="18"/>
        </w:rPr>
        <w:t xml:space="preserve">Konzessionsvergabeverordnung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Konzessionsgeber kann im Vergabeverfahren die Verwendung elektronischer Mittel, die nicht allgemein verfügbar sind (alternative elektronische Mittel), verlangen, wenn der Konzessionsgeber</w:t>
      </w:r>
    </w:p>
    <w:p>
      <w:pPr>
        <w:ind w:left="420"/>
      </w:pPr>
      <w:r>
        <w:t xml:space="preserve">1. Unternehmen während des gesamten Vergabeverfahrens unter einer Internetadresse einen unentgeltlichen, uneingeschränkten, vollständigen und direkten Zugang zu diesen alternativen elektronischen Mitteln gewährt und</w:t>
      </w:r>
    </w:p>
    <w:p>
      <w:pPr>
        <w:ind w:left="420"/>
      </w:pPr>
      <w:r>
        <w:t xml:space="preserve">2. diese alternativen elektronischen Mittel selbst verwendet.</w:t>
      </w:r>
    </w:p>
    <w:p>
      <w:r>
        <w:rPr>
          <w:color w:val="555555"/>
          <w:sz w:val="17"/>
        </w:rPr>
        <w:t xml:space="preserve">Zitiervorschlag: § 10 KonzVgV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https://recht.nulegal.eu/gesetze/KonzVgV/10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