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KonzVgV — Gegenstand und Anwendungsbereich</w:t>
      </w:r>
    </w:p>
    <w:p>
      <w:r>
        <w:rPr>
          <w:color w:val="555555"/>
          <w:sz w:val="18"/>
        </w:rPr>
        <w:t xml:space="preserve">Konzessionsvergabeverordnung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trifft nähere Bestimmungen über das einzuhaltende Verfahren bei der dem Teil 4 des Gesetzes gegen Wettbewerbsbeschränkungen unterliegenden Vergabe von Konzessionen durch einen Konzessionsgeber.</w:t>
      </w:r>
    </w:p>
    <w:p>
      <w:r>
        <w:rPr>
          <w:color w:val="555555"/>
          <w:sz w:val="17"/>
        </w:rPr>
        <w:t xml:space="preserve">Zitiervorschlag: § 1 KonzVgV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https://recht.nulegal.eu/gesetze/KonzVgV/1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