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KonvBehSchG — Inkrafttreten</w:t>
      </w:r>
    </w:p>
    <w:p>
      <w:r>
        <w:rPr>
          <w:color w:val="555555"/>
          <w:sz w:val="18"/>
        </w:rPr>
        <w:t xml:space="preserve">Gesetz zum Schutz vor Konversionsbehandlungen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7 KonvBehSchG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https://recht.nulegal.eu/gesetze/KonvBehSchG/7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