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KonvBehSchG — Strafvorschriften</w:t>
      </w:r>
    </w:p>
    <w:p>
      <w:r>
        <w:rPr>
          <w:color w:val="555555"/>
          <w:sz w:val="18"/>
        </w:rPr>
        <w:t xml:space="preserve">Gesetz zum Schutz vor Konversionsbehandlungen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(1) Mit Freiheitsstrafe bis zu einem Jahr oder mit Geldstrafe wird bestraft, wer entgegen § 2 eine Konversionsbehandlung durchführt.</w:t>
      </w:r>
    </w:p>
    <w:p>
      <w:r>
        <w:t xml:space="preserve">(2) Absatz 1 ist nicht auf Personen anzuwenden, die als Fürsorge- oder Erziehungsberechtigte handeln, sofern sie durch die Tat nicht ihre Fürsorge-oder Erziehungspflicht gröblich verletzen.</w:t>
      </w:r>
    </w:p>
    <w:p>
      <w:r>
        <w:rPr>
          <w:color w:val="555555"/>
          <w:sz w:val="17"/>
        </w:rPr>
        <w:t xml:space="preserve">Zitiervorschlag: § 5 KonvBehSchG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https://recht.nulegal.eu/gesetze/KonvBehSchG/5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