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KonvBehSchG — Anwendungsbereich des Gesetzes</w:t>
      </w:r>
    </w:p>
    <w:p>
      <w:r>
        <w:rPr>
          <w:color w:val="555555"/>
          <w:sz w:val="18"/>
        </w:rPr>
        <w:t xml:space="preserve">Gesetz zum Schutz vor Konversionsbehandlungen</w:t>
      </w:r>
    </w:p>
    <w:p>
      <w:r>
        <w:rPr>
          <w:color w:val="555555"/>
          <w:sz w:val="18"/>
        </w:rPr>
        <w:t xml:space="preserve">Stand: 24.06.2020 (konsolidierte Textfassung, kein amtliches Inkrafttretensdatum)</w:t>
      </w:r>
    </w:p>
    <w:p>
      <w:r>
        <w:t xml:space="preserve">(1) Dieses Gesetz gilt für alle am Menschen durchgeführten Behandlungen, die auf die Veränderung oder Unterdrückung der sexuellen Orientierung oder der selbstempfundenen geschlechtlichen Identität gerichtet sind (Konversionsbehandlung).</w:t>
      </w:r>
    </w:p>
    <w:p>
      <w:r>
        <w:t xml:space="preserve">(2) Dieses Gesetz ist nicht anzuwenden auf die Behandlung von medizinisch anerkannten Störungen der Sexualpräferenz.</w:t>
      </w:r>
    </w:p>
    <w:p>
      <w:r>
        <w:t xml:space="preserve">(3) Eine Konversionsbehandlung liegt nicht vor bei operativen medizinischen Eingriffen oder Hormonbehandlungen, die darauf gerichtet sind, die selbstempfundene geschlechtliche Identität einer Person zum Ausdruck zu bringen oder dem Wunsch einer Person nach einem eher männlichen oder eher weiblichen körperlichen Erscheinungsbild zu entsprechen.</w:t>
      </w:r>
    </w:p>
    <w:p>
      <w:r>
        <w:rPr>
          <w:color w:val="555555"/>
          <w:sz w:val="17"/>
        </w:rPr>
        <w:t xml:space="preserve">Zitiervorschlag: § 1 KonvBehSchG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https://recht.nulegal.eu/gesetze/KonvBehSchG/1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