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KonstPrV — (zu § 9) Zeugnisinhalte</w:t>
      </w:r>
    </w:p>
    <w:p>
      <w:r>
        <w:rPr>
          <w:color w:val="555555"/>
          <w:sz w:val="18"/>
        </w:rPr>
        <w:t xml:space="preserve">Verordnung über die Prüfung zum anerkannten Abschluß Geprüfter Konstrukteur/Geprüfte Konstrukteurin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(Fundstelle: BGBl. I 2019, 2192 - 2193)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fachrichtungsübergreifenden Prüfungsteil</w:t>
      </w:r>
    </w:p>
    <w:p>
      <w:pPr>
        <w:ind w:left="780"/>
      </w:pPr>
      <w:r>
        <w:t xml:space="preserve">a) Benennung dieses Prüfungsteils und Bewertung mit Note sowie</w:t>
      </w:r>
    </w:p>
    <w:p>
      <w:pPr>
        <w:ind w:left="780"/>
      </w:pPr>
      <w:r>
        <w:t xml:space="preserve">b) Benennung der Prüfungsfächer und Bewertung mit Note,</w:t>
      </w:r>
    </w:p>
    <w:p>
      <w:pPr>
        <w:ind w:left="420"/>
      </w:pPr>
      <w:r>
        <w:t xml:space="preserve">2. zum fachrichtungsspezifischen Prüfungsteil</w:t>
      </w:r>
    </w:p>
    <w:p>
      <w:pPr>
        <w:ind w:left="780"/>
      </w:pPr>
      <w:r>
        <w:t xml:space="preserve">a) Benennung dieses Prüfungsteils mit Note,</w:t>
      </w:r>
    </w:p>
    <w:p>
      <w:pPr>
        <w:ind w:left="780"/>
      </w:pPr>
      <w:r>
        <w:t xml:space="preserve">b) Benennung der Konstruktionsaufgabe mit Note sowie</w:t>
      </w:r>
    </w:p>
    <w:p>
      <w:pPr>
        <w:ind w:left="780"/>
      </w:pPr>
      <w:r>
        <w:t xml:space="preserve">c) Benennung des Fachgesprächs mit Note,</w:t>
      </w:r>
    </w:p>
    <w:p>
      <w:pPr>
        <w:ind w:left="420"/>
      </w:pPr>
      <w:r>
        <w:t xml:space="preserve">3. Benennung von Arbeitsgebiet, Thema und Beschreibung der Konstruktionsaufgabe,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6.</w:t>
      </w:r>
    </w:p>
    <w:p>
      <w:r>
        <w:rPr>
          <w:color w:val="555555"/>
          <w:sz w:val="17"/>
        </w:rPr>
        <w:t xml:space="preserve">Zitiervorschlag: Anlage 2 KonstPrV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https://recht.nulegal.eu/gesetze/KonstPrV/anlage-2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KonstPrV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